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60" w:rsidRDefault="00111760" w:rsidP="00A81455">
      <w:pPr>
        <w:jc w:val="both"/>
        <w:rPr>
          <w:u w:val="single"/>
          <w:lang w:val="el-G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4pt" fillcolor="window">
            <v:imagedata r:id="rId6" o:title=""/>
          </v:shape>
        </w:pict>
      </w:r>
    </w:p>
    <w:p w:rsidR="00111760" w:rsidRPr="00392196" w:rsidRDefault="00111760" w:rsidP="00A81455">
      <w:pPr>
        <w:jc w:val="both"/>
        <w:rPr>
          <w:b/>
          <w:bCs/>
          <w:lang w:val="el-GR"/>
        </w:rPr>
      </w:pPr>
      <w:r w:rsidRPr="00392196">
        <w:rPr>
          <w:b/>
          <w:bCs/>
          <w:lang w:val="el-GR"/>
        </w:rPr>
        <w:t>ΥΠΟΥΡΓΕΙΟ ΕΞΩΤΕΡΙΚΩΝ</w:t>
      </w:r>
    </w:p>
    <w:p w:rsidR="00111760" w:rsidRPr="00392196" w:rsidRDefault="00111760" w:rsidP="00A81455">
      <w:pPr>
        <w:jc w:val="both"/>
        <w:rPr>
          <w:b/>
          <w:bCs/>
          <w:lang w:val="el-GR"/>
        </w:rPr>
      </w:pPr>
      <w:r w:rsidRPr="00392196">
        <w:rPr>
          <w:b/>
          <w:bCs/>
          <w:lang w:val="el-GR"/>
        </w:rPr>
        <w:t>ΓΡΑΦΕΙΟ ΟΕΥ ΒΟΡΕΙΑΣ ΕΛΛΑΔΑΣ</w:t>
      </w:r>
    </w:p>
    <w:p w:rsidR="00111760" w:rsidRDefault="00111760" w:rsidP="00A81455">
      <w:pPr>
        <w:jc w:val="both"/>
        <w:rPr>
          <w:lang w:val="el-GR"/>
        </w:rPr>
      </w:pPr>
      <w:r w:rsidRPr="00392196">
        <w:rPr>
          <w:lang w:val="el-GR"/>
        </w:rPr>
        <w:t>Διοικητήριο, Οδός Αγίου Δημητρίου,</w:t>
      </w:r>
    </w:p>
    <w:p w:rsidR="00111760" w:rsidRPr="00392196" w:rsidRDefault="00111760" w:rsidP="00A81455">
      <w:pPr>
        <w:jc w:val="both"/>
        <w:rPr>
          <w:lang w:val="el-GR"/>
        </w:rPr>
      </w:pPr>
      <w:r w:rsidRPr="00392196">
        <w:rPr>
          <w:lang w:val="el-GR"/>
        </w:rPr>
        <w:t>Τ.Κ. 541 23</w:t>
      </w:r>
      <w:r>
        <w:rPr>
          <w:lang w:val="el-GR"/>
        </w:rPr>
        <w:t>,</w:t>
      </w:r>
      <w:r w:rsidRPr="00392196">
        <w:rPr>
          <w:lang w:val="el-GR"/>
        </w:rPr>
        <w:t xml:space="preserve">  Θεσσαλονίκη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D7D79">
        <w:rPr>
          <w:b/>
          <w:bCs/>
          <w:lang w:val="el-GR"/>
        </w:rPr>
        <w:t>ΑΔΙΑΒΑΘΜΗΤΟ</w:t>
      </w:r>
    </w:p>
    <w:p w:rsidR="00111760" w:rsidRDefault="00111760" w:rsidP="00A81455">
      <w:pPr>
        <w:jc w:val="both"/>
        <w:rPr>
          <w:lang w:val="el-GR"/>
        </w:rPr>
      </w:pPr>
      <w:r w:rsidRPr="00392196">
        <w:rPr>
          <w:lang w:val="el-GR"/>
        </w:rPr>
        <w:t>Τηλ: 2310</w:t>
      </w:r>
      <w:r>
        <w:rPr>
          <w:lang w:val="el-GR"/>
        </w:rPr>
        <w:t xml:space="preserve"> 379478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D7D79">
        <w:rPr>
          <w:b/>
          <w:bCs/>
          <w:lang w:val="el-GR"/>
        </w:rPr>
        <w:t>ΚΑΝΟΝΙΚΟ</w:t>
      </w:r>
    </w:p>
    <w:p w:rsidR="00111760" w:rsidRDefault="00111760" w:rsidP="00A81455">
      <w:pPr>
        <w:jc w:val="both"/>
        <w:rPr>
          <w:lang w:val="el-GR"/>
        </w:rPr>
      </w:pPr>
      <w:r w:rsidRPr="00392196">
        <w:rPr>
          <w:lang w:val="el-GR"/>
        </w:rPr>
        <w:t>Φαξ: 2310</w:t>
      </w:r>
      <w:r>
        <w:rPr>
          <w:lang w:val="el-GR"/>
        </w:rPr>
        <w:t xml:space="preserve"> </w:t>
      </w:r>
      <w:r w:rsidRPr="00392196">
        <w:rPr>
          <w:lang w:val="el-GR"/>
        </w:rPr>
        <w:t>379366</w:t>
      </w:r>
    </w:p>
    <w:p w:rsidR="00111760" w:rsidRDefault="00111760" w:rsidP="00A81455">
      <w:pPr>
        <w:jc w:val="both"/>
        <w:rPr>
          <w:lang w:val="el-GR"/>
        </w:rPr>
      </w:pPr>
      <w:hyperlink r:id="rId7" w:history="1">
        <w:r w:rsidRPr="00AE646A">
          <w:rPr>
            <w:rStyle w:val="Hyperlink"/>
            <w:color w:val="auto"/>
            <w:u w:val="none"/>
          </w:rPr>
          <w:t>groeybe</w:t>
        </w:r>
        <w:r w:rsidRPr="00AE646A">
          <w:rPr>
            <w:rStyle w:val="Hyperlink"/>
            <w:color w:val="auto"/>
            <w:u w:val="none"/>
            <w:lang w:val="el-GR"/>
          </w:rPr>
          <w:t>@</w:t>
        </w:r>
        <w:r w:rsidRPr="00AE646A">
          <w:rPr>
            <w:rStyle w:val="Hyperlink"/>
            <w:color w:val="auto"/>
            <w:u w:val="none"/>
          </w:rPr>
          <w:t>mfa</w:t>
        </w:r>
        <w:r w:rsidRPr="00AE646A">
          <w:rPr>
            <w:rStyle w:val="Hyperlink"/>
            <w:color w:val="auto"/>
            <w:u w:val="none"/>
            <w:lang w:val="el-GR"/>
          </w:rPr>
          <w:t>.</w:t>
        </w:r>
        <w:r w:rsidRPr="00AE646A">
          <w:rPr>
            <w:rStyle w:val="Hyperlink"/>
            <w:color w:val="auto"/>
            <w:u w:val="none"/>
          </w:rPr>
          <w:t>gr</w:t>
        </w:r>
      </w:hyperlink>
    </w:p>
    <w:p w:rsidR="00111760" w:rsidRPr="00AE646A" w:rsidRDefault="00111760" w:rsidP="00A81455">
      <w:pPr>
        <w:jc w:val="both"/>
        <w:rPr>
          <w:lang w:val="el-GR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40"/>
        <w:gridCol w:w="1094"/>
        <w:gridCol w:w="4295"/>
        <w:gridCol w:w="99"/>
      </w:tblGrid>
      <w:tr w:rsidR="00111760" w:rsidRPr="008F2360">
        <w:trPr>
          <w:gridBefore w:val="2"/>
          <w:gridAfter w:val="1"/>
          <w:wBefore w:w="4259" w:type="dxa"/>
          <w:wAfter w:w="99" w:type="dxa"/>
        </w:trPr>
        <w:tc>
          <w:tcPr>
            <w:tcW w:w="5389" w:type="dxa"/>
            <w:gridSpan w:val="2"/>
          </w:tcPr>
          <w:p w:rsidR="00111760" w:rsidRPr="002D295D" w:rsidRDefault="00111760" w:rsidP="00CB0AAF">
            <w:pPr>
              <w:jc w:val="both"/>
              <w:rPr>
                <w:lang w:val="el-GR"/>
              </w:rPr>
            </w:pPr>
            <w:r w:rsidRPr="008F2360">
              <w:t>Θεσσαλονίκη,</w:t>
            </w:r>
            <w:r>
              <w:rPr>
                <w:lang w:val="el-GR"/>
              </w:rPr>
              <w:t xml:space="preserve"> </w:t>
            </w:r>
            <w:smartTag w:uri="urn:schemas-microsoft-com:office:smarttags" w:element="date">
              <w:smartTagPr>
                <w:attr w:name="Month" w:val="8"/>
                <w:attr w:name="Day" w:val="8"/>
                <w:attr w:name="Year" w:val="2014"/>
              </w:smartTagPr>
              <w:r>
                <w:rPr>
                  <w:lang w:val="el-GR"/>
                </w:rPr>
                <w:t>8-8-2014</w:t>
              </w:r>
            </w:smartTag>
          </w:p>
        </w:tc>
      </w:tr>
      <w:tr w:rsidR="00111760" w:rsidRPr="008F2360">
        <w:trPr>
          <w:gridBefore w:val="2"/>
          <w:gridAfter w:val="1"/>
          <w:wBefore w:w="4259" w:type="dxa"/>
          <w:wAfter w:w="99" w:type="dxa"/>
        </w:trPr>
        <w:tc>
          <w:tcPr>
            <w:tcW w:w="5389" w:type="dxa"/>
            <w:gridSpan w:val="2"/>
          </w:tcPr>
          <w:p w:rsidR="00111760" w:rsidRPr="001725C8" w:rsidRDefault="00111760" w:rsidP="00CB0AAF">
            <w:pPr>
              <w:jc w:val="both"/>
              <w:rPr>
                <w:lang w:val="el-GR"/>
              </w:rPr>
            </w:pPr>
            <w:r w:rsidRPr="008F2360">
              <w:t xml:space="preserve">Α.Π.: Φ. </w:t>
            </w:r>
            <w:r>
              <w:t>2370/</w:t>
            </w:r>
            <w:r>
              <w:rPr>
                <w:lang w:val="el-GR"/>
              </w:rPr>
              <w:t>355</w:t>
            </w:r>
          </w:p>
        </w:tc>
      </w:tr>
      <w:tr w:rsidR="00111760" w:rsidRPr="00E020C1">
        <w:tc>
          <w:tcPr>
            <w:tcW w:w="4219" w:type="dxa"/>
          </w:tcPr>
          <w:p w:rsidR="00111760" w:rsidRPr="008F2360" w:rsidRDefault="00111760" w:rsidP="00CB0AAF">
            <w:pPr>
              <w:jc w:val="both"/>
            </w:pPr>
          </w:p>
        </w:tc>
        <w:tc>
          <w:tcPr>
            <w:tcW w:w="1134" w:type="dxa"/>
            <w:gridSpan w:val="2"/>
          </w:tcPr>
          <w:p w:rsidR="00111760" w:rsidRPr="008F2360" w:rsidRDefault="00111760" w:rsidP="00CB0AAF">
            <w:pPr>
              <w:jc w:val="right"/>
              <w:rPr>
                <w:b/>
                <w:bCs/>
              </w:rPr>
            </w:pPr>
            <w:r w:rsidRPr="008F2360">
              <w:rPr>
                <w:b/>
                <w:bCs/>
              </w:rPr>
              <w:t>ΠΡΟΣ:</w:t>
            </w:r>
          </w:p>
        </w:tc>
        <w:tc>
          <w:tcPr>
            <w:tcW w:w="4394" w:type="dxa"/>
            <w:gridSpan w:val="2"/>
          </w:tcPr>
          <w:p w:rsidR="00111760" w:rsidRPr="00637012" w:rsidRDefault="00111760" w:rsidP="00CB0AAF">
            <w:pPr>
              <w:jc w:val="both"/>
              <w:rPr>
                <w:lang w:val="el-GR"/>
              </w:rPr>
            </w:pPr>
            <w:r w:rsidRPr="00637012">
              <w:rPr>
                <w:lang w:val="el-GR"/>
              </w:rPr>
              <w:t>Υπουργείο Εξωτερικών</w:t>
            </w:r>
          </w:p>
          <w:p w:rsidR="00111760" w:rsidRPr="00637012" w:rsidRDefault="00111760" w:rsidP="00CB0AAF">
            <w:pPr>
              <w:rPr>
                <w:lang w:val="el-GR"/>
              </w:rPr>
            </w:pPr>
            <w:r>
              <w:rPr>
                <w:lang w:val="el-GR"/>
              </w:rPr>
              <w:t xml:space="preserve">-Β2, Β8 Δ/νσεις </w:t>
            </w:r>
            <w:r w:rsidRPr="00637012">
              <w:rPr>
                <w:lang w:val="el-GR"/>
              </w:rPr>
              <w:t xml:space="preserve"> </w:t>
            </w:r>
          </w:p>
        </w:tc>
      </w:tr>
      <w:tr w:rsidR="00111760" w:rsidRPr="00E020C1">
        <w:tc>
          <w:tcPr>
            <w:tcW w:w="4219" w:type="dxa"/>
          </w:tcPr>
          <w:p w:rsidR="00111760" w:rsidRPr="00637012" w:rsidRDefault="00111760" w:rsidP="00CB0AAF">
            <w:pPr>
              <w:jc w:val="both"/>
              <w:rPr>
                <w:lang w:val="el-GR"/>
              </w:rPr>
            </w:pPr>
          </w:p>
        </w:tc>
        <w:tc>
          <w:tcPr>
            <w:tcW w:w="1134" w:type="dxa"/>
            <w:gridSpan w:val="2"/>
          </w:tcPr>
          <w:p w:rsidR="00111760" w:rsidRPr="008F2360" w:rsidRDefault="00111760" w:rsidP="00CB0A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ΚΟΙΝ:</w:t>
            </w:r>
          </w:p>
        </w:tc>
        <w:tc>
          <w:tcPr>
            <w:tcW w:w="4394" w:type="dxa"/>
            <w:gridSpan w:val="2"/>
          </w:tcPr>
          <w:p w:rsidR="00111760" w:rsidRDefault="00111760" w:rsidP="00CB0AAF">
            <w:pPr>
              <w:jc w:val="both"/>
              <w:rPr>
                <w:lang w:val="el-GR"/>
              </w:rPr>
            </w:pPr>
            <w:r w:rsidRPr="00637012">
              <w:rPr>
                <w:lang w:val="el-GR"/>
              </w:rPr>
              <w:t>Υπουργείο Εξωτερικών</w:t>
            </w:r>
          </w:p>
          <w:p w:rsidR="00111760" w:rsidRPr="00637012" w:rsidRDefault="00111760" w:rsidP="00CB0AAF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-Διπλ. Γρ. ΥΦΥΠΕΞ κ. Κούρκουλα</w:t>
            </w:r>
          </w:p>
          <w:p w:rsidR="00111760" w:rsidRDefault="00111760" w:rsidP="00CB0AAF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-Γραφείο Γεν. Γρ. ΔΟΣ &amp; ΑΣ</w:t>
            </w:r>
          </w:p>
          <w:p w:rsidR="00111760" w:rsidRDefault="00111760" w:rsidP="00CB0AAF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-Β΄ Γεν. Δ/ντή </w:t>
            </w:r>
          </w:p>
          <w:p w:rsidR="00111760" w:rsidRDefault="00111760" w:rsidP="00CB0AAF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-Επιμελητήρια Μακεδονίας και Θράκης</w:t>
            </w:r>
          </w:p>
          <w:p w:rsidR="00111760" w:rsidRPr="00637012" w:rsidRDefault="00111760" w:rsidP="00CB0AAF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(Υπόψιν κ. Προέδρων) (μ.η.)</w:t>
            </w:r>
          </w:p>
        </w:tc>
      </w:tr>
      <w:tr w:rsidR="00111760" w:rsidRPr="00E020C1">
        <w:tc>
          <w:tcPr>
            <w:tcW w:w="4219" w:type="dxa"/>
          </w:tcPr>
          <w:p w:rsidR="00111760" w:rsidRPr="00637012" w:rsidRDefault="00111760" w:rsidP="00CB0AAF">
            <w:pPr>
              <w:jc w:val="both"/>
              <w:rPr>
                <w:lang w:val="el-GR"/>
              </w:rPr>
            </w:pPr>
          </w:p>
        </w:tc>
        <w:tc>
          <w:tcPr>
            <w:tcW w:w="1134" w:type="dxa"/>
            <w:gridSpan w:val="2"/>
          </w:tcPr>
          <w:p w:rsidR="00111760" w:rsidRPr="008D0B42" w:rsidRDefault="00111760" w:rsidP="00CB0AAF">
            <w:pPr>
              <w:jc w:val="righ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Ε.Δ.: </w:t>
            </w:r>
          </w:p>
        </w:tc>
        <w:tc>
          <w:tcPr>
            <w:tcW w:w="4394" w:type="dxa"/>
            <w:gridSpan w:val="2"/>
          </w:tcPr>
          <w:p w:rsidR="00111760" w:rsidRPr="00637012" w:rsidRDefault="00111760" w:rsidP="00CB0AAF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Γραφείο Αν. Γεν. Γρ. ΔΟΣ &amp; ΑΣ </w:t>
            </w:r>
          </w:p>
        </w:tc>
      </w:tr>
    </w:tbl>
    <w:p w:rsidR="00111760" w:rsidRPr="00637012" w:rsidRDefault="00111760" w:rsidP="00A81455">
      <w:pPr>
        <w:jc w:val="both"/>
        <w:rPr>
          <w:lang w:val="el-GR"/>
        </w:rPr>
      </w:pPr>
    </w:p>
    <w:tbl>
      <w:tblPr>
        <w:tblW w:w="0" w:type="auto"/>
        <w:tblLayout w:type="fixed"/>
        <w:tblLook w:val="0000"/>
      </w:tblPr>
      <w:tblGrid>
        <w:gridCol w:w="1101"/>
        <w:gridCol w:w="8646"/>
      </w:tblGrid>
      <w:tr w:rsidR="00111760" w:rsidRPr="00E020C1">
        <w:tc>
          <w:tcPr>
            <w:tcW w:w="1101" w:type="dxa"/>
          </w:tcPr>
          <w:p w:rsidR="00111760" w:rsidRPr="00EA1436" w:rsidRDefault="00111760" w:rsidP="00CB0AAF">
            <w:pPr>
              <w:rPr>
                <w:b/>
                <w:bCs/>
                <w:lang w:val="el-GR"/>
              </w:rPr>
            </w:pPr>
            <w:r w:rsidRPr="00EA1436">
              <w:rPr>
                <w:b/>
                <w:bCs/>
                <w:lang w:val="el-GR"/>
              </w:rPr>
              <w:t>ΘΕΜΑ:</w:t>
            </w:r>
          </w:p>
        </w:tc>
        <w:tc>
          <w:tcPr>
            <w:tcW w:w="8646" w:type="dxa"/>
          </w:tcPr>
          <w:p w:rsidR="00111760" w:rsidRPr="00EA1436" w:rsidRDefault="00111760" w:rsidP="00CB0AAF">
            <w:pPr>
              <w:jc w:val="both"/>
              <w:rPr>
                <w:b/>
                <w:bCs/>
                <w:lang w:val="el-GR"/>
              </w:rPr>
            </w:pPr>
            <w:r w:rsidRPr="00EA1436">
              <w:rPr>
                <w:b/>
                <w:bCs/>
                <w:lang w:val="el-GR"/>
              </w:rPr>
              <w:t>Εξαγωγές νομών Μακεδονίας και Θράκης (20</w:t>
            </w:r>
            <w:r w:rsidRPr="00DD0C8C">
              <w:rPr>
                <w:b/>
                <w:bCs/>
                <w:lang w:val="el-GR"/>
              </w:rPr>
              <w:t>09-2013</w:t>
            </w:r>
            <w:r w:rsidRPr="00EA1436">
              <w:rPr>
                <w:b/>
                <w:bCs/>
                <w:lang w:val="el-GR"/>
              </w:rPr>
              <w:t>).</w:t>
            </w:r>
          </w:p>
        </w:tc>
      </w:tr>
      <w:tr w:rsidR="00111760" w:rsidRPr="00E020C1">
        <w:tc>
          <w:tcPr>
            <w:tcW w:w="1101" w:type="dxa"/>
          </w:tcPr>
          <w:p w:rsidR="00111760" w:rsidRPr="00EA1436" w:rsidRDefault="00111760" w:rsidP="00CB0AAF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ΣΧΕΤ:</w:t>
            </w:r>
          </w:p>
        </w:tc>
        <w:tc>
          <w:tcPr>
            <w:tcW w:w="8646" w:type="dxa"/>
          </w:tcPr>
          <w:p w:rsidR="00111760" w:rsidRPr="00EA1436" w:rsidRDefault="00111760" w:rsidP="00CB0AAF">
            <w:pPr>
              <w:jc w:val="both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Έγγραφό μας με Α.Π. Φ.2370/850/15-11-2013.</w:t>
            </w:r>
          </w:p>
        </w:tc>
      </w:tr>
    </w:tbl>
    <w:p w:rsidR="00111760" w:rsidRPr="00637012" w:rsidRDefault="00111760" w:rsidP="00A81455">
      <w:pPr>
        <w:rPr>
          <w:sz w:val="28"/>
          <w:szCs w:val="28"/>
          <w:lang w:val="el-GR"/>
        </w:rPr>
      </w:pPr>
    </w:p>
    <w:p w:rsidR="00111760" w:rsidRPr="00D16058" w:rsidRDefault="00111760" w:rsidP="00A81455">
      <w:pPr>
        <w:jc w:val="both"/>
        <w:rPr>
          <w:lang w:val="el-GR"/>
        </w:rPr>
      </w:pPr>
      <w:r w:rsidRPr="00D16058">
        <w:rPr>
          <w:lang w:val="el-GR"/>
        </w:rPr>
        <w:t>Σ</w:t>
      </w:r>
      <w:r>
        <w:rPr>
          <w:lang w:val="el-GR"/>
        </w:rPr>
        <w:t>ας αποστέλλουμε συνημμένα, αρχεία</w:t>
      </w:r>
      <w:r w:rsidRPr="00D16058">
        <w:rPr>
          <w:lang w:val="el-GR"/>
        </w:rPr>
        <w:t xml:space="preserve"> με αναλυτικά στατιστικά στοιχεία εξαγωγών των νομών Μακεδονίας και Θράκης </w:t>
      </w:r>
      <w:r w:rsidRPr="00D16058">
        <w:rPr>
          <w:i/>
          <w:iCs/>
          <w:lang w:val="el-GR"/>
        </w:rPr>
        <w:t xml:space="preserve">(Γρεβενών, Δράμας, Έβρου, Ημαθίας, Θεσσαλονίκης, Καβάλας, Καστοριάς, Κιλκίς, Κοζάνης, Ξάνθης, Πέλλας, Πιερίας, Ροδόπης, Σερρών, Φλώρινας, Χαλκιδικής) </w:t>
      </w:r>
      <w:r w:rsidRPr="00D16058">
        <w:rPr>
          <w:lang w:val="el-GR"/>
        </w:rPr>
        <w:t>για τ</w:t>
      </w:r>
      <w:r>
        <w:rPr>
          <w:lang w:val="el-GR"/>
        </w:rPr>
        <w:t>ην περίοδο 2009-2013.</w:t>
      </w:r>
      <w:r w:rsidRPr="00D16058">
        <w:rPr>
          <w:lang w:val="el-GR"/>
        </w:rPr>
        <w:t xml:space="preserve"> </w:t>
      </w:r>
    </w:p>
    <w:p w:rsidR="00111760" w:rsidRPr="00D16058" w:rsidRDefault="00111760" w:rsidP="00A81455">
      <w:pPr>
        <w:jc w:val="both"/>
        <w:rPr>
          <w:lang w:val="el-GR"/>
        </w:rPr>
      </w:pPr>
    </w:p>
    <w:p w:rsidR="00111760" w:rsidRPr="00A40196" w:rsidRDefault="00111760" w:rsidP="00A81455">
      <w:pPr>
        <w:jc w:val="both"/>
        <w:rPr>
          <w:lang w:val="el-GR"/>
        </w:rPr>
      </w:pPr>
      <w:r>
        <w:rPr>
          <w:lang w:val="el-GR"/>
        </w:rPr>
        <w:t>Σύμφωνα με τα ανωτέρω στοιχεία</w:t>
      </w:r>
      <w:r w:rsidRPr="00D16058">
        <w:rPr>
          <w:lang w:val="el-GR"/>
        </w:rPr>
        <w:t xml:space="preserve"> </w:t>
      </w:r>
      <w:r>
        <w:rPr>
          <w:lang w:val="el-GR"/>
        </w:rPr>
        <w:t>των οποίων π</w:t>
      </w:r>
      <w:r w:rsidRPr="00D37231">
        <w:rPr>
          <w:lang w:val="el-GR"/>
        </w:rPr>
        <w:t>ρωτογενή πηγή είναι η ΕΛΣΤΑΤ</w:t>
      </w:r>
      <w:r>
        <w:rPr>
          <w:lang w:val="el-GR"/>
        </w:rPr>
        <w:t xml:space="preserve">, με επεξεργασία </w:t>
      </w:r>
      <w:r w:rsidRPr="00AB4F41">
        <w:rPr>
          <w:lang w:val="el-GR"/>
        </w:rPr>
        <w:t>του Ινστιτούτου Εξαγωγικών Ερευνών και Σπουδών (ΙΕΕΣ) του ΣΕΒΕ,</w:t>
      </w:r>
      <w:r>
        <w:rPr>
          <w:lang w:val="el-GR"/>
        </w:rPr>
        <w:t xml:space="preserve"> </w:t>
      </w:r>
      <w:r w:rsidRPr="00D16058">
        <w:rPr>
          <w:lang w:val="el-GR"/>
        </w:rPr>
        <w:t>οι εισαγωγές των νομών Μακεδονίας και Θράκης κατά το 201</w:t>
      </w:r>
      <w:r>
        <w:rPr>
          <w:lang w:val="el-GR"/>
        </w:rPr>
        <w:t>3</w:t>
      </w:r>
      <w:r w:rsidRPr="00D16058">
        <w:rPr>
          <w:lang w:val="el-GR"/>
        </w:rPr>
        <w:t xml:space="preserve"> ανήλθαν σε</w:t>
      </w:r>
      <w:r>
        <w:rPr>
          <w:lang w:val="el-GR"/>
        </w:rPr>
        <w:t xml:space="preserve"> </w:t>
      </w:r>
      <w:r w:rsidRPr="001725C8">
        <w:rPr>
          <w:lang w:val="el-GR"/>
        </w:rPr>
        <w:t>5.446.896.801</w:t>
      </w:r>
      <w:r w:rsidRPr="00D16058">
        <w:rPr>
          <w:lang w:val="el-GR"/>
        </w:rPr>
        <w:t xml:space="preserve"> ευρώ ενώ το 2012 ήταν </w:t>
      </w:r>
      <w:r w:rsidRPr="001725C8">
        <w:rPr>
          <w:lang w:val="el-GR"/>
        </w:rPr>
        <w:t>5.778.495.790</w:t>
      </w:r>
      <w:r>
        <w:rPr>
          <w:lang w:val="el-GR"/>
        </w:rPr>
        <w:t xml:space="preserve"> </w:t>
      </w:r>
      <w:r w:rsidRPr="00D16058">
        <w:rPr>
          <w:lang w:val="el-GR"/>
        </w:rPr>
        <w:t>ευρώ</w:t>
      </w:r>
      <w:r w:rsidRPr="00A40196">
        <w:rPr>
          <w:lang w:val="el-GR"/>
        </w:rPr>
        <w:t xml:space="preserve"> (</w:t>
      </w:r>
      <w:r>
        <w:rPr>
          <w:lang w:val="el-GR"/>
        </w:rPr>
        <w:t>-5,7%).</w:t>
      </w:r>
    </w:p>
    <w:p w:rsidR="00111760" w:rsidRPr="00D16058" w:rsidRDefault="00111760" w:rsidP="00A81455">
      <w:pPr>
        <w:jc w:val="both"/>
        <w:rPr>
          <w:lang w:val="el-GR"/>
        </w:rPr>
      </w:pPr>
    </w:p>
    <w:p w:rsidR="00111760" w:rsidRPr="00D16058" w:rsidRDefault="00111760" w:rsidP="00A81455">
      <w:pPr>
        <w:jc w:val="both"/>
        <w:rPr>
          <w:lang w:val="el-GR"/>
        </w:rPr>
      </w:pPr>
      <w:r w:rsidRPr="00D16058">
        <w:rPr>
          <w:lang w:val="el-GR"/>
        </w:rPr>
        <w:t>Οι εξαγωγές των νομών Μα</w:t>
      </w:r>
      <w:r>
        <w:rPr>
          <w:lang w:val="el-GR"/>
        </w:rPr>
        <w:t>κεδονίας και Θράκης κατά το 2013</w:t>
      </w:r>
      <w:r w:rsidRPr="00D16058">
        <w:rPr>
          <w:lang w:val="el-GR"/>
        </w:rPr>
        <w:t xml:space="preserve"> απο</w:t>
      </w:r>
      <w:r>
        <w:rPr>
          <w:lang w:val="el-GR"/>
        </w:rPr>
        <w:t>τέλεσαν</w:t>
      </w:r>
      <w:r w:rsidRPr="00D16058">
        <w:rPr>
          <w:lang w:val="el-GR"/>
        </w:rPr>
        <w:t xml:space="preserve"> το</w:t>
      </w:r>
      <w:r>
        <w:rPr>
          <w:lang w:val="el-GR"/>
        </w:rPr>
        <w:t xml:space="preserve"> 19,78</w:t>
      </w:r>
      <w:r w:rsidRPr="00D16058">
        <w:rPr>
          <w:lang w:val="el-GR"/>
        </w:rPr>
        <w:t>% του συνόλου των εξαγωγών της Ελλάδος</w:t>
      </w:r>
      <w:r>
        <w:rPr>
          <w:lang w:val="el-GR"/>
        </w:rPr>
        <w:t>.</w:t>
      </w:r>
    </w:p>
    <w:p w:rsidR="00111760" w:rsidRPr="00D16058" w:rsidRDefault="00111760" w:rsidP="00A81455">
      <w:pPr>
        <w:jc w:val="both"/>
        <w:rPr>
          <w:lang w:val="el-GR"/>
        </w:rPr>
      </w:pPr>
    </w:p>
    <w:p w:rsidR="00111760" w:rsidRDefault="00111760" w:rsidP="00A81455">
      <w:pPr>
        <w:jc w:val="both"/>
        <w:rPr>
          <w:lang w:val="el-GR"/>
        </w:rPr>
      </w:pPr>
      <w:r w:rsidRPr="00D16058">
        <w:rPr>
          <w:lang w:val="el-GR"/>
        </w:rPr>
        <w:t>Κατά το 201</w:t>
      </w:r>
      <w:r>
        <w:rPr>
          <w:lang w:val="el-GR"/>
        </w:rPr>
        <w:t>3</w:t>
      </w:r>
      <w:r w:rsidRPr="00D16058">
        <w:rPr>
          <w:lang w:val="el-GR"/>
        </w:rPr>
        <w:t>, αύξηση των εξαγωγών σε σχέση με το 201</w:t>
      </w:r>
      <w:r>
        <w:rPr>
          <w:lang w:val="el-GR"/>
        </w:rPr>
        <w:t>2</w:t>
      </w:r>
      <w:r w:rsidRPr="00D16058">
        <w:rPr>
          <w:lang w:val="el-GR"/>
        </w:rPr>
        <w:t xml:space="preserve">, σημείωσαν οι νομοί  </w:t>
      </w:r>
      <w:r>
        <w:rPr>
          <w:lang w:val="el-GR"/>
        </w:rPr>
        <w:t xml:space="preserve">Δράμας, Καβάλας, Χαλκιδικής, Πιερίας, Πέλλας, Κιλκίς, </w:t>
      </w:r>
      <w:r w:rsidRPr="00D16058">
        <w:rPr>
          <w:lang w:val="el-GR"/>
        </w:rPr>
        <w:t>ενώ μείωση των εξαγωγών σε σχέση με το 201</w:t>
      </w:r>
      <w:r>
        <w:rPr>
          <w:lang w:val="el-GR"/>
        </w:rPr>
        <w:t xml:space="preserve">2, </w:t>
      </w:r>
      <w:r w:rsidRPr="00D16058">
        <w:rPr>
          <w:lang w:val="el-GR"/>
        </w:rPr>
        <w:t xml:space="preserve">σημείωσαν οι νομοί </w:t>
      </w:r>
      <w:r>
        <w:rPr>
          <w:lang w:val="el-GR"/>
        </w:rPr>
        <w:t>Έβρου, Ξάνθης, Ροδόπης, Σερρών, Θεσσαλονίκης, Ημαθίας, Φλώρινας, Κοζάνης, Καστοριάς, Γρεβενών.</w:t>
      </w:r>
    </w:p>
    <w:p w:rsidR="00111760" w:rsidRDefault="00111760" w:rsidP="00A81455">
      <w:pPr>
        <w:jc w:val="both"/>
        <w:rPr>
          <w:lang w:val="el-GR"/>
        </w:rPr>
      </w:pPr>
      <w:r w:rsidRPr="00D16058">
        <w:rPr>
          <w:lang w:val="el-GR"/>
        </w:rPr>
        <w:t>Τις πρώτες θέσεις</w:t>
      </w:r>
      <w:r>
        <w:rPr>
          <w:lang w:val="el-GR"/>
        </w:rPr>
        <w:t>,</w:t>
      </w:r>
      <w:r w:rsidRPr="00D16058">
        <w:rPr>
          <w:lang w:val="el-GR"/>
        </w:rPr>
        <w:t xml:space="preserve"> όσον αφορά στ</w:t>
      </w:r>
      <w:r>
        <w:rPr>
          <w:lang w:val="el-GR"/>
        </w:rPr>
        <w:t xml:space="preserve">ην αξία των εξαγωγών κατά </w:t>
      </w:r>
      <w:r w:rsidRPr="00D16058">
        <w:rPr>
          <w:lang w:val="el-GR"/>
        </w:rPr>
        <w:t>το 201</w:t>
      </w:r>
      <w:r>
        <w:rPr>
          <w:lang w:val="el-GR"/>
        </w:rPr>
        <w:t>3,</w:t>
      </w:r>
      <w:r w:rsidRPr="00D16058">
        <w:rPr>
          <w:lang w:val="el-GR"/>
        </w:rPr>
        <w:t xml:space="preserve"> καταλαμβάνουν οι νομοί Θεσσαλονίκης, Καστοριάς, Ημαθίας</w:t>
      </w:r>
      <w:r>
        <w:rPr>
          <w:lang w:val="el-GR"/>
        </w:rPr>
        <w:t>,</w:t>
      </w:r>
      <w:r w:rsidRPr="00D16058">
        <w:rPr>
          <w:lang w:val="el-GR"/>
        </w:rPr>
        <w:t xml:space="preserve"> Πέλλας και Κιλκίς. </w:t>
      </w:r>
    </w:p>
    <w:p w:rsidR="00111760" w:rsidRDefault="00111760" w:rsidP="00A81455">
      <w:pPr>
        <w:jc w:val="both"/>
        <w:rPr>
          <w:lang w:val="el-GR"/>
        </w:rPr>
      </w:pPr>
    </w:p>
    <w:p w:rsidR="00111760" w:rsidRDefault="00111760" w:rsidP="00A81455">
      <w:pPr>
        <w:jc w:val="both"/>
        <w:rPr>
          <w:lang w:val="el-GR"/>
        </w:rPr>
      </w:pPr>
    </w:p>
    <w:p w:rsidR="00111760" w:rsidRDefault="00111760" w:rsidP="00A81455">
      <w:pPr>
        <w:jc w:val="both"/>
        <w:rPr>
          <w:lang w:val="el-GR"/>
        </w:rPr>
      </w:pPr>
    </w:p>
    <w:p w:rsidR="00111760" w:rsidRDefault="00111760" w:rsidP="00A81455">
      <w:pPr>
        <w:jc w:val="both"/>
        <w:rPr>
          <w:lang w:val="el-GR"/>
        </w:rPr>
      </w:pPr>
    </w:p>
    <w:p w:rsidR="00111760" w:rsidRPr="00B6167D" w:rsidRDefault="00111760" w:rsidP="009B6B48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ΑΞΙΑ ΕΞΑΓΩΓΩΝ ΚΑΤΑ ΤΟ 2013 ΣΕ ΕΥΡΩ</w:t>
      </w:r>
    </w:p>
    <w:p w:rsidR="00111760" w:rsidRDefault="00111760" w:rsidP="00CF73DE">
      <w:pPr>
        <w:jc w:val="both"/>
        <w:rPr>
          <w:lang w:val="el-GR"/>
        </w:rPr>
      </w:pPr>
    </w:p>
    <w:p w:rsidR="00111760" w:rsidRDefault="00111760" w:rsidP="00CF73DE">
      <w:pPr>
        <w:rPr>
          <w:b/>
          <w:bCs/>
          <w:lang w:val="el-GR"/>
        </w:rPr>
      </w:pPr>
    </w:p>
    <w:tbl>
      <w:tblPr>
        <w:tblW w:w="6537" w:type="dxa"/>
        <w:jc w:val="center"/>
        <w:tblInd w:w="-45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000"/>
      </w:tblPr>
      <w:tblGrid>
        <w:gridCol w:w="3235"/>
        <w:gridCol w:w="3302"/>
      </w:tblGrid>
      <w:tr w:rsidR="00111760" w:rsidRPr="000276B3">
        <w:trPr>
          <w:trHeight w:val="495"/>
          <w:jc w:val="center"/>
        </w:trPr>
        <w:tc>
          <w:tcPr>
            <w:tcW w:w="3235" w:type="dxa"/>
          </w:tcPr>
          <w:p w:rsidR="00111760" w:rsidRPr="000276B3" w:rsidRDefault="00111760" w:rsidP="000D343C">
            <w:pPr>
              <w:rPr>
                <w:lang w:val="el-GR"/>
              </w:rPr>
            </w:pPr>
            <w:r w:rsidRPr="000276B3">
              <w:rPr>
                <w:lang w:val="el-GR"/>
              </w:rPr>
              <w:t>ΣΥΝΟΛΟ ΕΛΛΑΔΑΣ</w:t>
            </w:r>
          </w:p>
        </w:tc>
        <w:tc>
          <w:tcPr>
            <w:tcW w:w="3302" w:type="dxa"/>
          </w:tcPr>
          <w:p w:rsidR="00111760" w:rsidRPr="000276B3" w:rsidRDefault="00111760" w:rsidP="009234E4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27.535.267.</w:t>
            </w:r>
            <w:r w:rsidRPr="000276B3">
              <w:rPr>
                <w:lang w:val="el-GR"/>
              </w:rPr>
              <w:t>269</w:t>
            </w:r>
          </w:p>
        </w:tc>
      </w:tr>
      <w:tr w:rsidR="00111760" w:rsidRPr="000276B3">
        <w:trPr>
          <w:trHeight w:val="330"/>
          <w:jc w:val="center"/>
        </w:trPr>
        <w:tc>
          <w:tcPr>
            <w:tcW w:w="3235" w:type="dxa"/>
          </w:tcPr>
          <w:p w:rsidR="00111760" w:rsidRPr="000276B3" w:rsidRDefault="00111760" w:rsidP="00A84770">
            <w:pPr>
              <w:rPr>
                <w:lang w:val="el-GR"/>
              </w:rPr>
            </w:pPr>
            <w:r w:rsidRPr="000276B3">
              <w:rPr>
                <w:lang w:val="el-GR"/>
              </w:rPr>
              <w:t>ΣΥΝΟΛΟ ΝΟΜΩΝ ΜΑΚΕΔΟΝΙΑΣ ΚΑΙ ΘΡΑΚΗΣ</w:t>
            </w:r>
          </w:p>
        </w:tc>
        <w:tc>
          <w:tcPr>
            <w:tcW w:w="3302" w:type="dxa"/>
            <w:vAlign w:val="bottom"/>
          </w:tcPr>
          <w:p w:rsidR="00111760" w:rsidRPr="000276B3" w:rsidRDefault="00111760" w:rsidP="009234E4">
            <w:pPr>
              <w:jc w:val="right"/>
            </w:pPr>
            <w:r w:rsidRPr="000276B3">
              <w:t>5.446.896.801</w:t>
            </w:r>
          </w:p>
        </w:tc>
      </w:tr>
      <w:tr w:rsidR="00111760" w:rsidRPr="000276B3">
        <w:trPr>
          <w:trHeight w:val="255"/>
          <w:jc w:val="center"/>
        </w:trPr>
        <w:tc>
          <w:tcPr>
            <w:tcW w:w="3235" w:type="dxa"/>
            <w:noWrap/>
            <w:vAlign w:val="bottom"/>
          </w:tcPr>
          <w:p w:rsidR="00111760" w:rsidRPr="000276B3" w:rsidRDefault="00111760" w:rsidP="00A84770">
            <w:pPr>
              <w:rPr>
                <w:b/>
                <w:bCs/>
                <w:lang w:val="el-GR"/>
              </w:rPr>
            </w:pPr>
            <w:r w:rsidRPr="000276B3">
              <w:rPr>
                <w:b/>
                <w:bCs/>
                <w:lang w:val="el-GR"/>
              </w:rPr>
              <w:t xml:space="preserve">ΠΟΣΟΣΤΟ </w:t>
            </w:r>
          </w:p>
        </w:tc>
        <w:tc>
          <w:tcPr>
            <w:tcW w:w="3302" w:type="dxa"/>
            <w:noWrap/>
            <w:vAlign w:val="bottom"/>
          </w:tcPr>
          <w:p w:rsidR="00111760" w:rsidRPr="000276B3" w:rsidRDefault="00111760" w:rsidP="009234E4">
            <w:pPr>
              <w:jc w:val="right"/>
              <w:rPr>
                <w:b/>
                <w:bCs/>
                <w:lang w:val="el-GR"/>
              </w:rPr>
            </w:pPr>
            <w:r w:rsidRPr="000276B3">
              <w:rPr>
                <w:b/>
                <w:bCs/>
                <w:lang w:val="el-GR"/>
              </w:rPr>
              <w:t>19,78%</w:t>
            </w:r>
          </w:p>
        </w:tc>
      </w:tr>
    </w:tbl>
    <w:p w:rsidR="00111760" w:rsidRDefault="00111760" w:rsidP="00CF73DE">
      <w:pPr>
        <w:rPr>
          <w:b/>
          <w:bCs/>
          <w:lang w:val="el-GR"/>
        </w:rPr>
      </w:pPr>
    </w:p>
    <w:p w:rsidR="00111760" w:rsidRDefault="00111760" w:rsidP="00CF73DE">
      <w:pPr>
        <w:rPr>
          <w:b/>
          <w:bCs/>
          <w:lang w:val="el-GR"/>
        </w:rPr>
      </w:pPr>
    </w:p>
    <w:p w:rsidR="00111760" w:rsidRDefault="00111760" w:rsidP="00CF73DE">
      <w:pPr>
        <w:rPr>
          <w:b/>
          <w:bCs/>
          <w:lang w:val="el-GR"/>
        </w:rPr>
      </w:pPr>
    </w:p>
    <w:p w:rsidR="00111760" w:rsidRDefault="00111760" w:rsidP="00CF73DE">
      <w:pPr>
        <w:rPr>
          <w:b/>
          <w:bCs/>
          <w:lang w:val="el-GR"/>
        </w:rPr>
      </w:pPr>
    </w:p>
    <w:p w:rsidR="00111760" w:rsidRDefault="00111760" w:rsidP="00B41FC8">
      <w:pPr>
        <w:jc w:val="center"/>
        <w:rPr>
          <w:b/>
          <w:bCs/>
          <w:lang w:val="el-GR"/>
        </w:rPr>
      </w:pPr>
    </w:p>
    <w:p w:rsidR="00111760" w:rsidRDefault="00111760" w:rsidP="00B41FC8">
      <w:pPr>
        <w:jc w:val="center"/>
        <w:rPr>
          <w:b/>
          <w:bCs/>
          <w:lang w:val="el-GR"/>
        </w:rPr>
      </w:pPr>
    </w:p>
    <w:p w:rsidR="00111760" w:rsidRDefault="00111760" w:rsidP="00B41FC8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ΣΕΙΡΑ ΚΑΤΑΤΑΞΗΣ ΝΟΜΩΝ ΜΑΚΕΔΟΝΙΑΣ ΚΑΙ ΘΡΑΚΗΣ</w:t>
      </w:r>
    </w:p>
    <w:p w:rsidR="00111760" w:rsidRDefault="00111760" w:rsidP="00B41FC8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 (ΕΞΑΓΩΓΕΣ ΚΑΤΑ ΤΟ  2013 ΣΕ ΕΥΡΩ)</w:t>
      </w:r>
    </w:p>
    <w:p w:rsidR="00111760" w:rsidRDefault="00111760" w:rsidP="00B41FC8">
      <w:pPr>
        <w:jc w:val="center"/>
        <w:rPr>
          <w:b/>
          <w:bCs/>
          <w:lang w:val="el-GR"/>
        </w:rPr>
      </w:pPr>
    </w:p>
    <w:p w:rsidR="00111760" w:rsidRDefault="00111760" w:rsidP="00B41FC8">
      <w:pPr>
        <w:jc w:val="center"/>
        <w:rPr>
          <w:b/>
          <w:bCs/>
          <w:lang w:val="el-GR"/>
        </w:rPr>
      </w:pPr>
    </w:p>
    <w:tbl>
      <w:tblPr>
        <w:tblW w:w="4048" w:type="dxa"/>
        <w:jc w:val="center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/>
      </w:tblPr>
      <w:tblGrid>
        <w:gridCol w:w="2348"/>
        <w:gridCol w:w="1700"/>
      </w:tblGrid>
      <w:tr w:rsidR="00111760" w:rsidRPr="000276B3" w:rsidTr="00934359">
        <w:trPr>
          <w:trHeight w:val="255"/>
          <w:jc w:val="center"/>
        </w:trPr>
        <w:tc>
          <w:tcPr>
            <w:tcW w:w="2348" w:type="dxa"/>
            <w:noWrap/>
            <w:vAlign w:val="bottom"/>
          </w:tcPr>
          <w:p w:rsidR="00111760" w:rsidRPr="000276B3" w:rsidRDefault="00111760" w:rsidP="00934359">
            <w:r w:rsidRPr="000276B3">
              <w:t>ΘΕΣΣΑΛΟΝΙΚΗΣ</w:t>
            </w:r>
          </w:p>
        </w:tc>
        <w:tc>
          <w:tcPr>
            <w:tcW w:w="1700" w:type="dxa"/>
            <w:noWrap/>
            <w:vAlign w:val="bottom"/>
          </w:tcPr>
          <w:p w:rsidR="00111760" w:rsidRPr="000276B3" w:rsidRDefault="00111760" w:rsidP="00934359">
            <w:pPr>
              <w:jc w:val="right"/>
            </w:pPr>
            <w:r w:rsidRPr="000276B3">
              <w:t>3.114.087.186</w:t>
            </w:r>
          </w:p>
        </w:tc>
      </w:tr>
      <w:tr w:rsidR="00111760" w:rsidRPr="000276B3" w:rsidTr="00934359">
        <w:trPr>
          <w:trHeight w:val="255"/>
          <w:jc w:val="center"/>
        </w:trPr>
        <w:tc>
          <w:tcPr>
            <w:tcW w:w="2348" w:type="dxa"/>
            <w:noWrap/>
            <w:vAlign w:val="bottom"/>
          </w:tcPr>
          <w:p w:rsidR="00111760" w:rsidRPr="000276B3" w:rsidRDefault="00111760" w:rsidP="00934359">
            <w:r w:rsidRPr="000276B3">
              <w:t>ΚΑΣΤΟΡΙΑΣ</w:t>
            </w:r>
          </w:p>
        </w:tc>
        <w:tc>
          <w:tcPr>
            <w:tcW w:w="1700" w:type="dxa"/>
            <w:noWrap/>
            <w:vAlign w:val="bottom"/>
          </w:tcPr>
          <w:p w:rsidR="00111760" w:rsidRPr="000276B3" w:rsidRDefault="00111760" w:rsidP="00934359">
            <w:pPr>
              <w:jc w:val="right"/>
            </w:pPr>
            <w:r w:rsidRPr="000276B3">
              <w:t>365.100.218</w:t>
            </w:r>
          </w:p>
        </w:tc>
      </w:tr>
      <w:tr w:rsidR="00111760" w:rsidRPr="000276B3" w:rsidTr="00934359">
        <w:trPr>
          <w:trHeight w:val="255"/>
          <w:jc w:val="center"/>
        </w:trPr>
        <w:tc>
          <w:tcPr>
            <w:tcW w:w="2348" w:type="dxa"/>
            <w:noWrap/>
            <w:vAlign w:val="bottom"/>
          </w:tcPr>
          <w:p w:rsidR="00111760" w:rsidRPr="000276B3" w:rsidRDefault="00111760" w:rsidP="00934359">
            <w:r w:rsidRPr="000276B3">
              <w:t>ΗΜΑΘΙΑΣ</w:t>
            </w:r>
          </w:p>
        </w:tc>
        <w:tc>
          <w:tcPr>
            <w:tcW w:w="1700" w:type="dxa"/>
            <w:noWrap/>
            <w:vAlign w:val="bottom"/>
          </w:tcPr>
          <w:p w:rsidR="00111760" w:rsidRPr="000276B3" w:rsidRDefault="00111760" w:rsidP="00934359">
            <w:pPr>
              <w:jc w:val="right"/>
            </w:pPr>
            <w:r w:rsidRPr="000276B3">
              <w:t>362.288.783</w:t>
            </w:r>
          </w:p>
        </w:tc>
      </w:tr>
      <w:tr w:rsidR="00111760" w:rsidRPr="000276B3" w:rsidTr="00934359">
        <w:trPr>
          <w:trHeight w:val="255"/>
          <w:jc w:val="center"/>
        </w:trPr>
        <w:tc>
          <w:tcPr>
            <w:tcW w:w="2348" w:type="dxa"/>
            <w:noWrap/>
            <w:vAlign w:val="bottom"/>
          </w:tcPr>
          <w:p w:rsidR="00111760" w:rsidRPr="000276B3" w:rsidRDefault="00111760" w:rsidP="00934359">
            <w:r w:rsidRPr="000276B3">
              <w:t>ΠΕΛΛΑΣ</w:t>
            </w:r>
          </w:p>
        </w:tc>
        <w:tc>
          <w:tcPr>
            <w:tcW w:w="1700" w:type="dxa"/>
            <w:noWrap/>
            <w:vAlign w:val="bottom"/>
          </w:tcPr>
          <w:p w:rsidR="00111760" w:rsidRPr="000276B3" w:rsidRDefault="00111760" w:rsidP="00934359">
            <w:pPr>
              <w:jc w:val="right"/>
            </w:pPr>
            <w:r w:rsidRPr="000276B3">
              <w:t>313.922.132</w:t>
            </w:r>
          </w:p>
        </w:tc>
      </w:tr>
      <w:tr w:rsidR="00111760" w:rsidRPr="000276B3" w:rsidTr="00934359">
        <w:trPr>
          <w:trHeight w:val="255"/>
          <w:jc w:val="center"/>
        </w:trPr>
        <w:tc>
          <w:tcPr>
            <w:tcW w:w="2348" w:type="dxa"/>
            <w:noWrap/>
            <w:vAlign w:val="bottom"/>
          </w:tcPr>
          <w:p w:rsidR="00111760" w:rsidRPr="000276B3" w:rsidRDefault="00111760" w:rsidP="00934359">
            <w:r w:rsidRPr="000276B3">
              <w:t>ΚΙΛΚΙΣ</w:t>
            </w:r>
          </w:p>
        </w:tc>
        <w:tc>
          <w:tcPr>
            <w:tcW w:w="1700" w:type="dxa"/>
            <w:noWrap/>
            <w:vAlign w:val="bottom"/>
          </w:tcPr>
          <w:p w:rsidR="00111760" w:rsidRPr="000276B3" w:rsidRDefault="00111760" w:rsidP="00934359">
            <w:pPr>
              <w:jc w:val="right"/>
            </w:pPr>
            <w:r w:rsidRPr="000276B3">
              <w:t>222.295.032</w:t>
            </w:r>
          </w:p>
        </w:tc>
      </w:tr>
      <w:tr w:rsidR="00111760" w:rsidRPr="000276B3" w:rsidTr="00934359">
        <w:trPr>
          <w:trHeight w:val="255"/>
          <w:jc w:val="center"/>
        </w:trPr>
        <w:tc>
          <w:tcPr>
            <w:tcW w:w="2348" w:type="dxa"/>
            <w:noWrap/>
            <w:vAlign w:val="bottom"/>
          </w:tcPr>
          <w:p w:rsidR="00111760" w:rsidRPr="000276B3" w:rsidRDefault="00111760" w:rsidP="00934359">
            <w:r w:rsidRPr="000276B3">
              <w:t>ΚΑΒΑΛΑΣ</w:t>
            </w:r>
          </w:p>
        </w:tc>
        <w:tc>
          <w:tcPr>
            <w:tcW w:w="1700" w:type="dxa"/>
            <w:noWrap/>
            <w:vAlign w:val="bottom"/>
          </w:tcPr>
          <w:p w:rsidR="00111760" w:rsidRPr="000276B3" w:rsidRDefault="00111760" w:rsidP="00934359">
            <w:pPr>
              <w:jc w:val="right"/>
            </w:pPr>
            <w:r w:rsidRPr="000276B3">
              <w:t>206.774.674</w:t>
            </w:r>
          </w:p>
        </w:tc>
      </w:tr>
      <w:tr w:rsidR="00111760" w:rsidRPr="000276B3" w:rsidTr="00934359">
        <w:trPr>
          <w:trHeight w:val="255"/>
          <w:jc w:val="center"/>
        </w:trPr>
        <w:tc>
          <w:tcPr>
            <w:tcW w:w="2348" w:type="dxa"/>
            <w:noWrap/>
            <w:vAlign w:val="bottom"/>
          </w:tcPr>
          <w:p w:rsidR="00111760" w:rsidRPr="000276B3" w:rsidRDefault="00111760" w:rsidP="00934359">
            <w:r w:rsidRPr="000276B3">
              <w:t>ΞΑΝΘΗΣ</w:t>
            </w:r>
          </w:p>
        </w:tc>
        <w:tc>
          <w:tcPr>
            <w:tcW w:w="1700" w:type="dxa"/>
            <w:noWrap/>
            <w:vAlign w:val="bottom"/>
          </w:tcPr>
          <w:p w:rsidR="00111760" w:rsidRPr="000276B3" w:rsidRDefault="00111760" w:rsidP="00934359">
            <w:pPr>
              <w:jc w:val="right"/>
            </w:pPr>
            <w:r w:rsidRPr="000276B3">
              <w:t>168.751.253</w:t>
            </w:r>
          </w:p>
        </w:tc>
      </w:tr>
      <w:tr w:rsidR="00111760" w:rsidRPr="000276B3" w:rsidTr="00934359">
        <w:trPr>
          <w:trHeight w:val="255"/>
          <w:jc w:val="center"/>
        </w:trPr>
        <w:tc>
          <w:tcPr>
            <w:tcW w:w="2348" w:type="dxa"/>
            <w:noWrap/>
            <w:vAlign w:val="bottom"/>
          </w:tcPr>
          <w:p w:rsidR="00111760" w:rsidRPr="000276B3" w:rsidRDefault="00111760" w:rsidP="00934359">
            <w:r w:rsidRPr="000276B3">
              <w:t>ΧΑΛΚΙΔΙΚΗΣ</w:t>
            </w:r>
          </w:p>
        </w:tc>
        <w:tc>
          <w:tcPr>
            <w:tcW w:w="1700" w:type="dxa"/>
            <w:noWrap/>
            <w:vAlign w:val="bottom"/>
          </w:tcPr>
          <w:p w:rsidR="00111760" w:rsidRPr="000276B3" w:rsidRDefault="00111760" w:rsidP="00934359">
            <w:pPr>
              <w:jc w:val="right"/>
            </w:pPr>
            <w:r w:rsidRPr="000276B3">
              <w:t>144.846.538</w:t>
            </w:r>
          </w:p>
        </w:tc>
      </w:tr>
      <w:tr w:rsidR="00111760" w:rsidRPr="000276B3" w:rsidTr="00934359">
        <w:trPr>
          <w:trHeight w:val="255"/>
          <w:jc w:val="center"/>
        </w:trPr>
        <w:tc>
          <w:tcPr>
            <w:tcW w:w="2348" w:type="dxa"/>
            <w:noWrap/>
            <w:vAlign w:val="bottom"/>
          </w:tcPr>
          <w:p w:rsidR="00111760" w:rsidRPr="000276B3" w:rsidRDefault="00111760" w:rsidP="00934359">
            <w:r w:rsidRPr="000276B3">
              <w:t>ΔΡΑΜΑΣ</w:t>
            </w:r>
          </w:p>
        </w:tc>
        <w:tc>
          <w:tcPr>
            <w:tcW w:w="1700" w:type="dxa"/>
            <w:noWrap/>
            <w:vAlign w:val="bottom"/>
          </w:tcPr>
          <w:p w:rsidR="00111760" w:rsidRPr="000276B3" w:rsidRDefault="00111760" w:rsidP="00934359">
            <w:pPr>
              <w:jc w:val="right"/>
            </w:pPr>
            <w:r w:rsidRPr="000276B3">
              <w:t>123.128.412</w:t>
            </w:r>
          </w:p>
        </w:tc>
      </w:tr>
      <w:tr w:rsidR="00111760" w:rsidRPr="000276B3" w:rsidTr="00934359">
        <w:trPr>
          <w:trHeight w:val="255"/>
          <w:jc w:val="center"/>
        </w:trPr>
        <w:tc>
          <w:tcPr>
            <w:tcW w:w="2348" w:type="dxa"/>
            <w:noWrap/>
            <w:vAlign w:val="bottom"/>
          </w:tcPr>
          <w:p w:rsidR="00111760" w:rsidRPr="000276B3" w:rsidRDefault="00111760" w:rsidP="00934359">
            <w:r w:rsidRPr="000276B3">
              <w:t>ΠΙΕΡΙΑΣ</w:t>
            </w:r>
          </w:p>
        </w:tc>
        <w:tc>
          <w:tcPr>
            <w:tcW w:w="1700" w:type="dxa"/>
            <w:noWrap/>
            <w:vAlign w:val="bottom"/>
          </w:tcPr>
          <w:p w:rsidR="00111760" w:rsidRPr="000276B3" w:rsidRDefault="00111760" w:rsidP="00934359">
            <w:pPr>
              <w:jc w:val="right"/>
            </w:pPr>
            <w:r w:rsidRPr="000276B3">
              <w:t>113.376.487</w:t>
            </w:r>
          </w:p>
        </w:tc>
      </w:tr>
      <w:tr w:rsidR="00111760" w:rsidRPr="000276B3" w:rsidTr="00934359">
        <w:trPr>
          <w:trHeight w:val="255"/>
          <w:jc w:val="center"/>
        </w:trPr>
        <w:tc>
          <w:tcPr>
            <w:tcW w:w="2348" w:type="dxa"/>
            <w:noWrap/>
            <w:vAlign w:val="bottom"/>
          </w:tcPr>
          <w:p w:rsidR="00111760" w:rsidRPr="000276B3" w:rsidRDefault="00111760" w:rsidP="00934359">
            <w:r w:rsidRPr="000276B3">
              <w:t>ΡΟΔΟΠΗΣ</w:t>
            </w:r>
          </w:p>
        </w:tc>
        <w:tc>
          <w:tcPr>
            <w:tcW w:w="1700" w:type="dxa"/>
            <w:noWrap/>
            <w:vAlign w:val="bottom"/>
          </w:tcPr>
          <w:p w:rsidR="00111760" w:rsidRPr="000276B3" w:rsidRDefault="00111760" w:rsidP="00934359">
            <w:pPr>
              <w:jc w:val="right"/>
            </w:pPr>
            <w:r w:rsidRPr="000276B3">
              <w:t>97.962.792</w:t>
            </w:r>
          </w:p>
        </w:tc>
      </w:tr>
      <w:tr w:rsidR="00111760" w:rsidRPr="000276B3" w:rsidTr="00934359">
        <w:trPr>
          <w:trHeight w:val="255"/>
          <w:jc w:val="center"/>
        </w:trPr>
        <w:tc>
          <w:tcPr>
            <w:tcW w:w="2348" w:type="dxa"/>
            <w:noWrap/>
            <w:vAlign w:val="bottom"/>
          </w:tcPr>
          <w:p w:rsidR="00111760" w:rsidRPr="000276B3" w:rsidRDefault="00111760" w:rsidP="00934359">
            <w:r w:rsidRPr="000276B3">
              <w:t>ΕΒΡΟΥ</w:t>
            </w:r>
          </w:p>
        </w:tc>
        <w:tc>
          <w:tcPr>
            <w:tcW w:w="1700" w:type="dxa"/>
            <w:noWrap/>
            <w:vAlign w:val="bottom"/>
          </w:tcPr>
          <w:p w:rsidR="00111760" w:rsidRPr="000276B3" w:rsidRDefault="00111760" w:rsidP="00934359">
            <w:pPr>
              <w:jc w:val="right"/>
            </w:pPr>
            <w:r w:rsidRPr="000276B3">
              <w:t>85.931.405</w:t>
            </w:r>
          </w:p>
        </w:tc>
      </w:tr>
      <w:tr w:rsidR="00111760" w:rsidRPr="000276B3" w:rsidTr="00934359">
        <w:trPr>
          <w:trHeight w:val="255"/>
          <w:jc w:val="center"/>
        </w:trPr>
        <w:tc>
          <w:tcPr>
            <w:tcW w:w="2348" w:type="dxa"/>
            <w:noWrap/>
            <w:vAlign w:val="bottom"/>
          </w:tcPr>
          <w:p w:rsidR="00111760" w:rsidRPr="000276B3" w:rsidRDefault="00111760" w:rsidP="00934359">
            <w:r w:rsidRPr="000276B3">
              <w:t>ΣΕΡΡΩΝ</w:t>
            </w:r>
          </w:p>
        </w:tc>
        <w:tc>
          <w:tcPr>
            <w:tcW w:w="1700" w:type="dxa"/>
            <w:noWrap/>
            <w:vAlign w:val="bottom"/>
          </w:tcPr>
          <w:p w:rsidR="00111760" w:rsidRPr="000276B3" w:rsidRDefault="00111760" w:rsidP="00934359">
            <w:pPr>
              <w:jc w:val="right"/>
            </w:pPr>
            <w:r w:rsidRPr="000276B3">
              <w:t>65.414.390</w:t>
            </w:r>
          </w:p>
        </w:tc>
      </w:tr>
      <w:tr w:rsidR="00111760" w:rsidRPr="000276B3" w:rsidTr="00934359">
        <w:trPr>
          <w:trHeight w:val="255"/>
          <w:jc w:val="center"/>
        </w:trPr>
        <w:tc>
          <w:tcPr>
            <w:tcW w:w="2348" w:type="dxa"/>
            <w:noWrap/>
            <w:vAlign w:val="bottom"/>
          </w:tcPr>
          <w:p w:rsidR="00111760" w:rsidRPr="000276B3" w:rsidRDefault="00111760" w:rsidP="00934359">
            <w:r w:rsidRPr="000276B3">
              <w:t>ΚΟΖΑΝΗΣ</w:t>
            </w:r>
          </w:p>
        </w:tc>
        <w:tc>
          <w:tcPr>
            <w:tcW w:w="1700" w:type="dxa"/>
            <w:noWrap/>
            <w:vAlign w:val="bottom"/>
          </w:tcPr>
          <w:p w:rsidR="00111760" w:rsidRPr="000276B3" w:rsidRDefault="00111760" w:rsidP="00934359">
            <w:pPr>
              <w:jc w:val="right"/>
            </w:pPr>
            <w:r w:rsidRPr="000276B3">
              <w:t>50.912.440</w:t>
            </w:r>
          </w:p>
        </w:tc>
      </w:tr>
      <w:tr w:rsidR="00111760" w:rsidRPr="000276B3" w:rsidTr="00934359">
        <w:trPr>
          <w:trHeight w:val="255"/>
          <w:jc w:val="center"/>
        </w:trPr>
        <w:tc>
          <w:tcPr>
            <w:tcW w:w="2348" w:type="dxa"/>
            <w:noWrap/>
            <w:vAlign w:val="bottom"/>
          </w:tcPr>
          <w:p w:rsidR="00111760" w:rsidRPr="000276B3" w:rsidRDefault="00111760" w:rsidP="00934359">
            <w:r w:rsidRPr="000276B3">
              <w:t>ΓΡΕΒΕΝΩΝ</w:t>
            </w:r>
          </w:p>
        </w:tc>
        <w:tc>
          <w:tcPr>
            <w:tcW w:w="1700" w:type="dxa"/>
            <w:noWrap/>
            <w:vAlign w:val="bottom"/>
          </w:tcPr>
          <w:p w:rsidR="00111760" w:rsidRPr="000276B3" w:rsidRDefault="00111760" w:rsidP="00934359">
            <w:pPr>
              <w:jc w:val="right"/>
            </w:pPr>
            <w:r w:rsidRPr="000276B3">
              <w:t>7.521.946</w:t>
            </w:r>
          </w:p>
        </w:tc>
      </w:tr>
      <w:tr w:rsidR="00111760" w:rsidRPr="000276B3" w:rsidTr="00934359">
        <w:trPr>
          <w:trHeight w:val="255"/>
          <w:jc w:val="center"/>
        </w:trPr>
        <w:tc>
          <w:tcPr>
            <w:tcW w:w="2348" w:type="dxa"/>
            <w:noWrap/>
            <w:vAlign w:val="bottom"/>
          </w:tcPr>
          <w:p w:rsidR="00111760" w:rsidRPr="000276B3" w:rsidRDefault="00111760" w:rsidP="00934359">
            <w:r w:rsidRPr="000276B3">
              <w:t>ΦΛΩΡΙΝΑΣ</w:t>
            </w:r>
          </w:p>
        </w:tc>
        <w:tc>
          <w:tcPr>
            <w:tcW w:w="1700" w:type="dxa"/>
            <w:noWrap/>
            <w:vAlign w:val="bottom"/>
          </w:tcPr>
          <w:p w:rsidR="00111760" w:rsidRPr="000276B3" w:rsidRDefault="00111760" w:rsidP="00934359">
            <w:pPr>
              <w:jc w:val="right"/>
            </w:pPr>
            <w:r w:rsidRPr="000276B3">
              <w:t>4.583.113</w:t>
            </w:r>
          </w:p>
        </w:tc>
      </w:tr>
    </w:tbl>
    <w:p w:rsidR="00111760" w:rsidRDefault="00111760" w:rsidP="00B41FC8">
      <w:pPr>
        <w:jc w:val="center"/>
        <w:rPr>
          <w:b/>
          <w:bCs/>
          <w:lang w:val="el-GR"/>
        </w:rPr>
      </w:pPr>
    </w:p>
    <w:p w:rsidR="00111760" w:rsidRDefault="00111760" w:rsidP="00A81455">
      <w:pPr>
        <w:jc w:val="both"/>
        <w:rPr>
          <w:lang w:val="el-GR"/>
        </w:rPr>
      </w:pPr>
    </w:p>
    <w:p w:rsidR="00111760" w:rsidRDefault="00111760" w:rsidP="00A81455">
      <w:pPr>
        <w:jc w:val="both"/>
        <w:rPr>
          <w:lang w:val="el-GR"/>
        </w:rPr>
      </w:pPr>
    </w:p>
    <w:p w:rsidR="00111760" w:rsidRDefault="00111760" w:rsidP="00A81455">
      <w:pPr>
        <w:jc w:val="both"/>
        <w:rPr>
          <w:lang w:val="el-GR"/>
        </w:rPr>
      </w:pPr>
    </w:p>
    <w:p w:rsidR="00111760" w:rsidRDefault="00111760" w:rsidP="00A81455">
      <w:pPr>
        <w:jc w:val="both"/>
        <w:rPr>
          <w:lang w:val="el-GR"/>
        </w:rPr>
      </w:pPr>
    </w:p>
    <w:p w:rsidR="00111760" w:rsidRDefault="00111760" w:rsidP="00A81455">
      <w:pPr>
        <w:jc w:val="both"/>
        <w:rPr>
          <w:lang w:val="el-GR"/>
        </w:rPr>
      </w:pPr>
    </w:p>
    <w:p w:rsidR="00111760" w:rsidRDefault="00111760" w:rsidP="00A81455">
      <w:pPr>
        <w:jc w:val="both"/>
        <w:rPr>
          <w:lang w:val="el-GR"/>
        </w:rPr>
        <w:sectPr w:rsidR="00111760" w:rsidSect="00C67D4B">
          <w:footerReference w:type="even" r:id="rId8"/>
          <w:footerReference w:type="default" r:id="rId9"/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111760" w:rsidRDefault="00111760" w:rsidP="00A81455">
      <w:pPr>
        <w:jc w:val="both"/>
        <w:rPr>
          <w:lang w:val="el-GR"/>
        </w:rPr>
      </w:pPr>
    </w:p>
    <w:p w:rsidR="00111760" w:rsidRDefault="00111760" w:rsidP="00A81455">
      <w:pPr>
        <w:jc w:val="both"/>
        <w:rPr>
          <w:lang w:val="el-GR"/>
        </w:rPr>
      </w:pPr>
    </w:p>
    <w:p w:rsidR="00111760" w:rsidRPr="00415438" w:rsidRDefault="00111760" w:rsidP="001D1039">
      <w:pPr>
        <w:jc w:val="center"/>
        <w:rPr>
          <w:b/>
          <w:bCs/>
          <w:lang w:val="el-GR"/>
        </w:rPr>
      </w:pPr>
      <w:r w:rsidRPr="00415438">
        <w:rPr>
          <w:b/>
          <w:bCs/>
          <w:lang w:val="el-GR"/>
        </w:rPr>
        <w:t xml:space="preserve">ΕΞΑΓΩΓΕΣ ΝΟΜΩΝ ΜΑΚΕΔΟΝΙΑΣ </w:t>
      </w:r>
      <w:r>
        <w:rPr>
          <w:b/>
          <w:bCs/>
          <w:lang w:val="el-GR"/>
        </w:rPr>
        <w:t>ΚΑΙ</w:t>
      </w:r>
      <w:r w:rsidRPr="00415438">
        <w:rPr>
          <w:b/>
          <w:bCs/>
          <w:lang w:val="el-GR"/>
        </w:rPr>
        <w:t xml:space="preserve"> ΘΡΑΚΗΣ 2009-2013 </w:t>
      </w:r>
      <w:r>
        <w:rPr>
          <w:b/>
          <w:bCs/>
          <w:lang w:val="el-GR"/>
        </w:rPr>
        <w:t>ΣΕ ΕΥΡΩ</w:t>
      </w:r>
      <w:r w:rsidRPr="00415438">
        <w:rPr>
          <w:b/>
          <w:bCs/>
          <w:lang w:val="el-GR"/>
        </w:rPr>
        <w:t xml:space="preserve"> </w:t>
      </w:r>
    </w:p>
    <w:p w:rsidR="00111760" w:rsidRPr="005C1C4B" w:rsidRDefault="00111760" w:rsidP="001D1039">
      <w:pPr>
        <w:rPr>
          <w:lang w:val="el-GR"/>
        </w:rPr>
      </w:pPr>
    </w:p>
    <w:tbl>
      <w:tblPr>
        <w:tblW w:w="1300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/>
      </w:tblPr>
      <w:tblGrid>
        <w:gridCol w:w="1766"/>
        <w:gridCol w:w="1366"/>
        <w:gridCol w:w="1540"/>
        <w:gridCol w:w="1440"/>
        <w:gridCol w:w="1366"/>
        <w:gridCol w:w="1366"/>
        <w:gridCol w:w="1440"/>
        <w:gridCol w:w="1300"/>
        <w:gridCol w:w="1420"/>
      </w:tblGrid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b/>
                <w:bCs/>
                <w:sz w:val="20"/>
                <w:szCs w:val="20"/>
              </w:rPr>
            </w:pPr>
            <w:r w:rsidRPr="00415438">
              <w:rPr>
                <w:b/>
                <w:bCs/>
                <w:sz w:val="20"/>
                <w:szCs w:val="20"/>
              </w:rPr>
              <w:t>ΝΟΜΟΣ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center"/>
              <w:rPr>
                <w:b/>
                <w:bCs/>
                <w:sz w:val="20"/>
                <w:szCs w:val="20"/>
              </w:rPr>
            </w:pPr>
            <w:r w:rsidRPr="00415438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center"/>
              <w:rPr>
                <w:b/>
                <w:bCs/>
                <w:sz w:val="20"/>
                <w:szCs w:val="20"/>
              </w:rPr>
            </w:pPr>
            <w:r w:rsidRPr="00415438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center"/>
              <w:rPr>
                <w:b/>
                <w:bCs/>
                <w:sz w:val="20"/>
                <w:szCs w:val="20"/>
              </w:rPr>
            </w:pPr>
            <w:r w:rsidRPr="00415438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center"/>
              <w:rPr>
                <w:b/>
                <w:bCs/>
                <w:sz w:val="20"/>
                <w:szCs w:val="20"/>
              </w:rPr>
            </w:pPr>
            <w:r w:rsidRPr="00415438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center"/>
              <w:rPr>
                <w:b/>
                <w:bCs/>
                <w:sz w:val="20"/>
                <w:szCs w:val="20"/>
              </w:rPr>
            </w:pPr>
            <w:r w:rsidRPr="00415438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center"/>
              <w:rPr>
                <w:b/>
                <w:bCs/>
                <w:sz w:val="20"/>
                <w:szCs w:val="20"/>
              </w:rPr>
            </w:pPr>
            <w:r w:rsidRPr="00415438">
              <w:rPr>
                <w:b/>
                <w:bCs/>
                <w:sz w:val="20"/>
                <w:szCs w:val="20"/>
              </w:rPr>
              <w:t>Μ</w:t>
            </w:r>
            <w:r>
              <w:rPr>
                <w:b/>
                <w:bCs/>
                <w:sz w:val="20"/>
                <w:szCs w:val="20"/>
                <w:lang w:val="el-GR"/>
              </w:rPr>
              <w:t>ΕΡΙΔΙΟ 20</w:t>
            </w:r>
            <w:r w:rsidRPr="0041543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center"/>
              <w:rPr>
                <w:b/>
                <w:bCs/>
                <w:sz w:val="20"/>
                <w:szCs w:val="20"/>
              </w:rPr>
            </w:pPr>
            <w:r w:rsidRPr="00415438">
              <w:rPr>
                <w:b/>
                <w:bCs/>
                <w:sz w:val="20"/>
                <w:szCs w:val="20"/>
              </w:rPr>
              <w:t>ΕΤ 13/12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center"/>
              <w:rPr>
                <w:b/>
                <w:bCs/>
                <w:sz w:val="20"/>
                <w:szCs w:val="20"/>
              </w:rPr>
            </w:pPr>
            <w:r w:rsidRPr="00415438">
              <w:rPr>
                <w:b/>
                <w:bCs/>
                <w:sz w:val="20"/>
                <w:szCs w:val="20"/>
              </w:rPr>
              <w:t>ΜΕΤ 09/13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ΔΡΑΜΑΣ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86.416.960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118.743.391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124.150.028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111.739.079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123.128.412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10,2%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9,3%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ΚΑΒΑΛΑΣ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185.790.386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193.827.121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184.974.670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170.915.385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206.774.674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21,0%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2,7%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ΕΒΡΟΥ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55.875.264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69.011.123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101.886.761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99.645.497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85.931.405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-13,8%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11,4%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ΞΑΝΘΗΣ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108.639.113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128.173.557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159.884.107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168.970.665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168.751.253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-0,1%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11,6%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ΡΟΔΟΠΗΣ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116.288.682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111.025.314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107.070.212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115.899.477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97.962.792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-15,5%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-4,2%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ΧΑΛΚΙΔΙΚΗΣ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91.242.908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102.449.851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124.248.608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132.870.826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144.846.538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9,0%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12,2%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ΣΕΡΡΩΝ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66.819.451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73.876.464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71.423.544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81.752.559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65.414.390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-20,0%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-0,5%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ΠΙΕΡΙΑΣ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90.245.794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113.975.674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117.881.022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111.550.461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113.376.487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1,6%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5,9%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ΠΕΛΛΑΣ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218.526.768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231.038.054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230.883.023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285.139.948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313.922.132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10,1%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9,5%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ΚΙΛΚΙΣ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238.724.519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197.468.017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219.719.671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219.484.648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222.295.032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1,3%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-1,8%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ΘΕΣΣΑΛΟΝΙΚΗΣ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2.670.454.717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2.768.012.289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2.991.633.882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3.428.345.046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3.114.087.186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-9,2%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3,9%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ΗΜΑΘΙΑΣ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295.117.085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353.602.595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350.959.839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410.037.045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362.288.783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-11,6%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5,3%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ΦΛΩΡΙΝΑΣ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3.681.047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5.155.535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4.499.013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5.182.216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4.583.113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-11,6%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5,6%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 xml:space="preserve">ΚΟΖΑΝΗΣ 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50.808.147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64.507.407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72.859.362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57.894.164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50.912.440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-12,1%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0,1%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ΚΑΣΤΟΡΙΑΣ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212.616.096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284.409.062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325.254.147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369.729.518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365.100.218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-1,3%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14,5%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Pr="00415438" w:rsidRDefault="00111760">
            <w:pPr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ΓΡΕΒΕΝΩΝ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9.606.814</w:t>
            </w:r>
          </w:p>
        </w:tc>
        <w:tc>
          <w:tcPr>
            <w:tcW w:w="15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10.941.118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11.558.682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9.339.256</w:t>
            </w:r>
          </w:p>
        </w:tc>
        <w:tc>
          <w:tcPr>
            <w:tcW w:w="1366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7.521.946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-19,5%</w:t>
            </w:r>
          </w:p>
        </w:tc>
        <w:tc>
          <w:tcPr>
            <w:tcW w:w="142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-5,9%</w:t>
            </w:r>
          </w:p>
        </w:tc>
      </w:tr>
      <w:tr w:rsidR="00111760" w:rsidRPr="00415438">
        <w:trPr>
          <w:trHeight w:val="255"/>
          <w:jc w:val="center"/>
        </w:trPr>
        <w:tc>
          <w:tcPr>
            <w:tcW w:w="1766" w:type="dxa"/>
            <w:noWrap/>
            <w:vAlign w:val="bottom"/>
          </w:tcPr>
          <w:p w:rsidR="00111760" w:rsidRDefault="0011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ΣΥΝΟΛΟ</w:t>
            </w:r>
          </w:p>
        </w:tc>
        <w:tc>
          <w:tcPr>
            <w:tcW w:w="1366" w:type="dxa"/>
            <w:noWrap/>
            <w:vAlign w:val="bottom"/>
          </w:tcPr>
          <w:p w:rsidR="00111760" w:rsidRDefault="001117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4.500.853.751</w:t>
            </w:r>
          </w:p>
        </w:tc>
        <w:tc>
          <w:tcPr>
            <w:tcW w:w="1540" w:type="dxa"/>
            <w:noWrap/>
            <w:vAlign w:val="bottom"/>
          </w:tcPr>
          <w:p w:rsidR="00111760" w:rsidRDefault="001117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4.826.216.572</w:t>
            </w:r>
          </w:p>
        </w:tc>
        <w:tc>
          <w:tcPr>
            <w:tcW w:w="1440" w:type="dxa"/>
            <w:noWrap/>
            <w:vAlign w:val="bottom"/>
          </w:tcPr>
          <w:p w:rsidR="00111760" w:rsidRDefault="001117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5.198.886.571</w:t>
            </w:r>
          </w:p>
        </w:tc>
        <w:tc>
          <w:tcPr>
            <w:tcW w:w="1366" w:type="dxa"/>
            <w:noWrap/>
            <w:vAlign w:val="bottom"/>
          </w:tcPr>
          <w:p w:rsidR="00111760" w:rsidRDefault="001117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5.778.495.790</w:t>
            </w:r>
          </w:p>
        </w:tc>
        <w:tc>
          <w:tcPr>
            <w:tcW w:w="1366" w:type="dxa"/>
            <w:noWrap/>
            <w:vAlign w:val="bottom"/>
          </w:tcPr>
          <w:p w:rsidR="00111760" w:rsidRDefault="001117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5.446.896.801</w:t>
            </w:r>
          </w:p>
        </w:tc>
        <w:tc>
          <w:tcPr>
            <w:tcW w:w="1440" w:type="dxa"/>
            <w:noWrap/>
            <w:vAlign w:val="bottom"/>
          </w:tcPr>
          <w:p w:rsidR="00111760" w:rsidRPr="00415438" w:rsidRDefault="00111760">
            <w:pPr>
              <w:jc w:val="right"/>
              <w:rPr>
                <w:sz w:val="20"/>
                <w:szCs w:val="20"/>
              </w:rPr>
            </w:pPr>
            <w:r w:rsidRPr="00415438">
              <w:rPr>
                <w:sz w:val="20"/>
                <w:szCs w:val="20"/>
              </w:rPr>
              <w:t>100,0%</w:t>
            </w:r>
          </w:p>
        </w:tc>
        <w:tc>
          <w:tcPr>
            <w:tcW w:w="1300" w:type="dxa"/>
            <w:noWrap/>
            <w:vAlign w:val="bottom"/>
          </w:tcPr>
          <w:p w:rsidR="00111760" w:rsidRDefault="001117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-5,7%</w:t>
            </w:r>
          </w:p>
        </w:tc>
        <w:tc>
          <w:tcPr>
            <w:tcW w:w="1420" w:type="dxa"/>
            <w:noWrap/>
            <w:vAlign w:val="bottom"/>
          </w:tcPr>
          <w:p w:rsidR="00111760" w:rsidRDefault="001117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5</w:t>
            </w:r>
            <w:r>
              <w:rPr>
                <w:sz w:val="20"/>
                <w:szCs w:val="20"/>
              </w:rPr>
              <w:t>,0%</w:t>
            </w:r>
          </w:p>
        </w:tc>
      </w:tr>
    </w:tbl>
    <w:p w:rsidR="00111760" w:rsidRDefault="00111760" w:rsidP="00A81455">
      <w:pPr>
        <w:jc w:val="both"/>
        <w:rPr>
          <w:lang w:val="el-GR"/>
        </w:rPr>
      </w:pPr>
    </w:p>
    <w:p w:rsidR="00111760" w:rsidRDefault="00111760" w:rsidP="00A81455">
      <w:pPr>
        <w:jc w:val="both"/>
        <w:rPr>
          <w:lang w:val="el-GR"/>
        </w:rPr>
      </w:pPr>
    </w:p>
    <w:p w:rsidR="00111760" w:rsidRDefault="00111760" w:rsidP="00A81455">
      <w:pPr>
        <w:jc w:val="both"/>
        <w:rPr>
          <w:lang w:val="el-GR"/>
        </w:rPr>
      </w:pPr>
    </w:p>
    <w:p w:rsidR="00111760" w:rsidRPr="00D42CC5" w:rsidRDefault="00111760" w:rsidP="00D42CC5">
      <w:pPr>
        <w:jc w:val="both"/>
        <w:rPr>
          <w:lang w:val="el-GR"/>
        </w:rPr>
      </w:pPr>
      <w:r w:rsidRPr="00D42CC5">
        <w:rPr>
          <w:lang w:val="el-GR"/>
        </w:rPr>
        <w:t>ΕΤ</w:t>
      </w:r>
      <w:r>
        <w:rPr>
          <w:lang w:val="el-GR"/>
        </w:rPr>
        <w:t>:</w:t>
      </w:r>
      <w:r w:rsidRPr="00D42CC5">
        <w:rPr>
          <w:lang w:val="el-GR"/>
        </w:rPr>
        <w:tab/>
        <w:t>Ετήσια Τάση</w:t>
      </w:r>
      <w:r w:rsidRPr="00D42CC5">
        <w:rPr>
          <w:lang w:val="el-GR"/>
        </w:rPr>
        <w:tab/>
      </w:r>
    </w:p>
    <w:p w:rsidR="00111760" w:rsidRPr="00D42CC5" w:rsidRDefault="00111760" w:rsidP="00D42CC5">
      <w:pPr>
        <w:jc w:val="both"/>
        <w:rPr>
          <w:lang w:val="el-GR"/>
        </w:rPr>
      </w:pPr>
      <w:r w:rsidRPr="00D42CC5">
        <w:rPr>
          <w:lang w:val="el-GR"/>
        </w:rPr>
        <w:t>ΜΕΤ</w:t>
      </w:r>
      <w:r>
        <w:rPr>
          <w:lang w:val="el-GR"/>
        </w:rPr>
        <w:t>:</w:t>
      </w:r>
      <w:r w:rsidRPr="00D42CC5">
        <w:rPr>
          <w:lang w:val="el-GR"/>
        </w:rPr>
        <w:tab/>
        <w:t>Μέση Ετήσια Τάση</w:t>
      </w:r>
      <w:r w:rsidRPr="00D42CC5">
        <w:rPr>
          <w:lang w:val="el-GR"/>
        </w:rPr>
        <w:tab/>
      </w:r>
    </w:p>
    <w:p w:rsidR="00111760" w:rsidRPr="00D42CC5" w:rsidRDefault="00111760" w:rsidP="00D42CC5">
      <w:pPr>
        <w:jc w:val="both"/>
        <w:rPr>
          <w:lang w:val="el-GR"/>
        </w:rPr>
      </w:pPr>
    </w:p>
    <w:p w:rsidR="00111760" w:rsidRDefault="00111760" w:rsidP="00D42CC5">
      <w:pPr>
        <w:jc w:val="both"/>
        <w:rPr>
          <w:lang w:val="el-GR"/>
        </w:rPr>
        <w:sectPr w:rsidR="00111760" w:rsidSect="00C67D4B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  <w:r>
        <w:rPr>
          <w:lang w:val="el-GR"/>
        </w:rPr>
        <w:t xml:space="preserve"> </w:t>
      </w:r>
    </w:p>
    <w:p w:rsidR="00111760" w:rsidRDefault="00111760" w:rsidP="00A81455">
      <w:pPr>
        <w:jc w:val="center"/>
        <w:rPr>
          <w:b/>
          <w:bCs/>
          <w:lang w:val="el-GR"/>
        </w:rPr>
      </w:pPr>
    </w:p>
    <w:p w:rsidR="00111760" w:rsidRPr="000968D7" w:rsidRDefault="00111760" w:rsidP="00A81455">
      <w:pPr>
        <w:jc w:val="center"/>
        <w:rPr>
          <w:b/>
          <w:bCs/>
          <w:sz w:val="26"/>
          <w:szCs w:val="26"/>
          <w:lang w:val="el-GR"/>
        </w:rPr>
      </w:pPr>
      <w:r w:rsidRPr="000968D7">
        <w:rPr>
          <w:b/>
          <w:bCs/>
          <w:sz w:val="26"/>
          <w:szCs w:val="26"/>
          <w:lang w:val="el-GR"/>
        </w:rPr>
        <w:t>Οι κυριότεροι εξαγώγιμοι κλάδοι των νομών Μακεδονίας και Θράκης κατά το 2013:</w:t>
      </w:r>
    </w:p>
    <w:p w:rsidR="00111760" w:rsidRPr="000968D7" w:rsidRDefault="00111760" w:rsidP="00A81455">
      <w:pPr>
        <w:rPr>
          <w:b/>
          <w:bCs/>
          <w:sz w:val="26"/>
          <w:szCs w:val="26"/>
          <w:lang w:val="el-GR"/>
        </w:rPr>
      </w:pPr>
    </w:p>
    <w:p w:rsidR="00111760" w:rsidRDefault="00111760" w:rsidP="00A81455">
      <w:pPr>
        <w:rPr>
          <w:b/>
          <w:bCs/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b/>
          <w:bCs/>
          <w:lang w:val="el-GR"/>
        </w:rPr>
      </w:pPr>
      <w:r w:rsidRPr="00A93FB4">
        <w:rPr>
          <w:b/>
          <w:bCs/>
          <w:lang w:val="el-GR"/>
        </w:rPr>
        <w:t xml:space="preserve">Νομός </w:t>
      </w:r>
      <w:r>
        <w:rPr>
          <w:b/>
          <w:bCs/>
          <w:lang w:val="el-GR"/>
        </w:rPr>
        <w:t>Δράμας</w:t>
      </w:r>
    </w:p>
    <w:p w:rsidR="00111760" w:rsidRDefault="00111760" w:rsidP="00A81455">
      <w:pPr>
        <w:rPr>
          <w:b/>
          <w:bCs/>
          <w:lang w:val="el-GR"/>
        </w:rPr>
      </w:pPr>
    </w:p>
    <w:p w:rsidR="00111760" w:rsidRDefault="00111760" w:rsidP="00A81455">
      <w:pPr>
        <w:rPr>
          <w:b/>
          <w:bCs/>
          <w:lang w:val="el-GR"/>
        </w:rPr>
      </w:pPr>
    </w:p>
    <w:p w:rsidR="00111760" w:rsidRDefault="00111760" w:rsidP="00A81455">
      <w:pPr>
        <w:rPr>
          <w:lang w:val="el-GR"/>
        </w:rPr>
      </w:pPr>
      <w:r w:rsidRPr="005F5E76">
        <w:rPr>
          <w:lang w:val="el-GR"/>
        </w:rPr>
        <w:t xml:space="preserve">Οι κυριότεροι εξαγώγιμοι κλάδοι </w:t>
      </w:r>
      <w:r>
        <w:rPr>
          <w:lang w:val="el-GR"/>
        </w:rPr>
        <w:t>του νομού Δράμας κατά το 2013 ήταν:</w:t>
      </w:r>
    </w:p>
    <w:p w:rsidR="00111760" w:rsidRDefault="00111760" w:rsidP="00A81455">
      <w:pPr>
        <w:jc w:val="both"/>
        <w:rPr>
          <w:lang w:val="el-GR"/>
        </w:rPr>
      </w:pPr>
    </w:p>
    <w:p w:rsidR="00111760" w:rsidRDefault="00111760" w:rsidP="00A81455">
      <w:pPr>
        <w:jc w:val="both"/>
        <w:rPr>
          <w:lang w:val="el-GR"/>
        </w:rPr>
      </w:pPr>
    </w:p>
    <w:p w:rsidR="00111760" w:rsidRPr="00DB2A98" w:rsidRDefault="00111760" w:rsidP="00DB2A98">
      <w:pPr>
        <w:jc w:val="both"/>
        <w:rPr>
          <w:lang w:val="el-GR"/>
        </w:rPr>
      </w:pPr>
      <w:r w:rsidRPr="00DB2A98">
        <w:rPr>
          <w:lang w:val="el-GR"/>
        </w:rPr>
        <w:t xml:space="preserve">Αλάτι. Θείο. Γύψος, ασβέστης και τσιμέντα </w:t>
      </w:r>
    </w:p>
    <w:p w:rsidR="00111760" w:rsidRPr="00DB2A98" w:rsidRDefault="00111760" w:rsidP="00DB2A98">
      <w:pPr>
        <w:jc w:val="both"/>
        <w:rPr>
          <w:lang w:val="el-GR"/>
        </w:rPr>
      </w:pPr>
      <w:r w:rsidRPr="00DB2A98">
        <w:rPr>
          <w:lang w:val="el-GR"/>
        </w:rPr>
        <w:t>Τεχνουργήματα από πέτρες, γύψο, τσιμέντο, αμίαντο, μάρμαρο</w:t>
      </w:r>
    </w:p>
    <w:p w:rsidR="00111760" w:rsidRPr="00DB2A98" w:rsidRDefault="00111760" w:rsidP="00DB2A98">
      <w:pPr>
        <w:jc w:val="both"/>
        <w:rPr>
          <w:lang w:val="el-GR"/>
        </w:rPr>
      </w:pPr>
      <w:r w:rsidRPr="00DB2A98">
        <w:rPr>
          <w:lang w:val="el-GR"/>
        </w:rPr>
        <w:t>Βαμβάκι</w:t>
      </w:r>
    </w:p>
    <w:p w:rsidR="00111760" w:rsidRPr="00DB2A98" w:rsidRDefault="00111760" w:rsidP="00DB2A98">
      <w:pPr>
        <w:jc w:val="both"/>
        <w:rPr>
          <w:lang w:val="el-GR"/>
        </w:rPr>
      </w:pPr>
      <w:r w:rsidRPr="00DB2A98">
        <w:rPr>
          <w:lang w:val="el-GR"/>
        </w:rPr>
        <w:t>Ενδύματα και συμπληρώματα του ενδύματος, πλεκτά</w:t>
      </w:r>
    </w:p>
    <w:p w:rsidR="00111760" w:rsidRPr="00DB2A98" w:rsidRDefault="00111760" w:rsidP="00DB2A98">
      <w:pPr>
        <w:jc w:val="both"/>
        <w:rPr>
          <w:lang w:val="el-GR"/>
        </w:rPr>
      </w:pPr>
      <w:r w:rsidRPr="00DB2A98">
        <w:rPr>
          <w:lang w:val="el-GR"/>
        </w:rPr>
        <w:t>Σπέρματα, σπόροι και διάφοροι καρποί</w:t>
      </w:r>
    </w:p>
    <w:p w:rsidR="00111760" w:rsidRPr="00DB2A98" w:rsidRDefault="00111760" w:rsidP="00DB2A98">
      <w:pPr>
        <w:jc w:val="both"/>
        <w:rPr>
          <w:lang w:val="el-GR"/>
        </w:rPr>
      </w:pPr>
      <w:r w:rsidRPr="00DB2A98">
        <w:rPr>
          <w:lang w:val="el-GR"/>
        </w:rPr>
        <w:t>Ποτά, αλκοολούχα  υγρά και ξύδι</w:t>
      </w:r>
    </w:p>
    <w:p w:rsidR="00111760" w:rsidRPr="00DB2A98" w:rsidRDefault="00111760" w:rsidP="00DB2A98">
      <w:pPr>
        <w:jc w:val="both"/>
        <w:rPr>
          <w:lang w:val="el-GR"/>
        </w:rPr>
      </w:pPr>
      <w:r w:rsidRPr="00DB2A98">
        <w:rPr>
          <w:lang w:val="el-GR"/>
        </w:rPr>
        <w:t>Δημητριακά</w:t>
      </w:r>
    </w:p>
    <w:p w:rsidR="00111760" w:rsidRPr="00DB2A98" w:rsidRDefault="00111760" w:rsidP="00DB2A98">
      <w:pPr>
        <w:jc w:val="both"/>
        <w:rPr>
          <w:lang w:val="el-GR"/>
        </w:rPr>
      </w:pPr>
      <w:r w:rsidRPr="00DB2A98">
        <w:rPr>
          <w:lang w:val="el-GR"/>
        </w:rPr>
        <w:t>Καρποί και φρούτα νωπά</w:t>
      </w:r>
    </w:p>
    <w:p w:rsidR="00111760" w:rsidRPr="00DB2A98" w:rsidRDefault="00111760" w:rsidP="00DB2A98">
      <w:pPr>
        <w:jc w:val="both"/>
        <w:rPr>
          <w:lang w:val="el-GR"/>
        </w:rPr>
      </w:pPr>
      <w:r w:rsidRPr="00DB2A98">
        <w:rPr>
          <w:lang w:val="el-GR"/>
        </w:rPr>
        <w:t>Ξυλεία και τεχνουργήματα από ξύλο</w:t>
      </w:r>
    </w:p>
    <w:p w:rsidR="00111760" w:rsidRPr="00DB2A98" w:rsidRDefault="00111760" w:rsidP="00DB2A98">
      <w:pPr>
        <w:jc w:val="both"/>
        <w:rPr>
          <w:lang w:val="el-GR"/>
        </w:rPr>
      </w:pPr>
      <w:r w:rsidRPr="00DB2A98">
        <w:rPr>
          <w:lang w:val="el-GR"/>
        </w:rPr>
        <w:t>Μηχανές, συσκευές και υλικά ηλεκτρικά και τα μέρη τους</w:t>
      </w:r>
    </w:p>
    <w:p w:rsidR="00111760" w:rsidRPr="00DB2A98" w:rsidRDefault="00111760" w:rsidP="00DB2A98">
      <w:pPr>
        <w:jc w:val="both"/>
        <w:rPr>
          <w:lang w:val="el-GR"/>
        </w:rPr>
      </w:pPr>
      <w:r w:rsidRPr="00DB2A98">
        <w:rPr>
          <w:lang w:val="el-GR"/>
        </w:rPr>
        <w:t>Αργίλιο και τεχνουργήματα από αργίλιο</w:t>
      </w:r>
    </w:p>
    <w:p w:rsidR="00111760" w:rsidRPr="00DB2A98" w:rsidRDefault="00111760" w:rsidP="00DB2A98">
      <w:pPr>
        <w:jc w:val="both"/>
        <w:rPr>
          <w:lang w:val="el-GR"/>
        </w:rPr>
      </w:pPr>
      <w:r w:rsidRPr="00DB2A98">
        <w:rPr>
          <w:lang w:val="el-GR"/>
        </w:rPr>
        <w:t>Υφάσματα πλεκτά</w:t>
      </w:r>
    </w:p>
    <w:p w:rsidR="00111760" w:rsidRDefault="00111760" w:rsidP="00A81455">
      <w:pPr>
        <w:jc w:val="both"/>
        <w:rPr>
          <w:lang w:val="el-GR"/>
        </w:rPr>
      </w:pPr>
    </w:p>
    <w:p w:rsidR="00111760" w:rsidRDefault="00111760" w:rsidP="00A81455">
      <w:pPr>
        <w:jc w:val="both"/>
        <w:rPr>
          <w:lang w:val="el-GR"/>
        </w:rPr>
      </w:pPr>
    </w:p>
    <w:p w:rsidR="00111760" w:rsidRDefault="00111760" w:rsidP="00A81455">
      <w:pPr>
        <w:jc w:val="both"/>
        <w:rPr>
          <w:lang w:val="el-GR"/>
        </w:rPr>
      </w:pPr>
    </w:p>
    <w:p w:rsidR="00111760" w:rsidRDefault="00111760" w:rsidP="00A81455">
      <w:pPr>
        <w:jc w:val="both"/>
        <w:rPr>
          <w:lang w:val="el-GR"/>
        </w:rPr>
      </w:pPr>
      <w:r>
        <w:rPr>
          <w:lang w:val="el-GR"/>
        </w:rPr>
        <w:t>Οι κυριότερες χώρες προορισμού των προϊόντων του νομού Δράμας κατά το 2013 ήταν:</w:t>
      </w:r>
    </w:p>
    <w:p w:rsidR="00111760" w:rsidRDefault="00111760" w:rsidP="00AA3EE7">
      <w:pPr>
        <w:rPr>
          <w:lang w:val="el-GR"/>
        </w:rPr>
      </w:pPr>
    </w:p>
    <w:p w:rsidR="00111760" w:rsidRDefault="00111760" w:rsidP="00AA3EE7">
      <w:pPr>
        <w:rPr>
          <w:lang w:val="el-GR"/>
        </w:rPr>
      </w:pPr>
    </w:p>
    <w:p w:rsidR="00111760" w:rsidRPr="00AA3EE7" w:rsidRDefault="00111760" w:rsidP="00AA3EE7">
      <w:pPr>
        <w:rPr>
          <w:lang w:val="el-GR"/>
        </w:rPr>
      </w:pPr>
      <w:r w:rsidRPr="00AA3EE7">
        <w:rPr>
          <w:lang w:val="el-GR"/>
        </w:rPr>
        <w:t>ΚΙΝΑ</w:t>
      </w:r>
    </w:p>
    <w:p w:rsidR="00111760" w:rsidRPr="00AA3EE7" w:rsidRDefault="00111760" w:rsidP="00AA3EE7">
      <w:pPr>
        <w:rPr>
          <w:lang w:val="el-GR"/>
        </w:rPr>
      </w:pPr>
      <w:r w:rsidRPr="00AA3EE7">
        <w:rPr>
          <w:lang w:val="el-GR"/>
        </w:rPr>
        <w:t>ΙΤΑΛΙΑ</w:t>
      </w:r>
    </w:p>
    <w:p w:rsidR="00111760" w:rsidRPr="00AA3EE7" w:rsidRDefault="00111760" w:rsidP="00AA3EE7">
      <w:pPr>
        <w:rPr>
          <w:lang w:val="el-GR"/>
        </w:rPr>
      </w:pPr>
      <w:r w:rsidRPr="00AA3EE7">
        <w:rPr>
          <w:lang w:val="el-GR"/>
        </w:rPr>
        <w:t>ΤΟΥΡΚΙΑ</w:t>
      </w:r>
    </w:p>
    <w:p w:rsidR="00111760" w:rsidRPr="00AA3EE7" w:rsidRDefault="00111760" w:rsidP="00AA3EE7">
      <w:pPr>
        <w:rPr>
          <w:lang w:val="el-GR"/>
        </w:rPr>
      </w:pPr>
      <w:r w:rsidRPr="00AA3EE7">
        <w:rPr>
          <w:lang w:val="el-GR"/>
        </w:rPr>
        <w:t>ΣΙΝΓΚΑΠΟΥΡΗ</w:t>
      </w:r>
    </w:p>
    <w:p w:rsidR="00111760" w:rsidRPr="00AA3EE7" w:rsidRDefault="00111760" w:rsidP="00AA3EE7">
      <w:pPr>
        <w:rPr>
          <w:lang w:val="el-GR"/>
        </w:rPr>
      </w:pPr>
      <w:r w:rsidRPr="00AA3EE7">
        <w:rPr>
          <w:lang w:val="el-GR"/>
        </w:rPr>
        <w:t>ΒΟΥΛΓΑΡΙΑ</w:t>
      </w:r>
    </w:p>
    <w:p w:rsidR="00111760" w:rsidRPr="00AA3EE7" w:rsidRDefault="00111760" w:rsidP="00AA3EE7">
      <w:pPr>
        <w:rPr>
          <w:lang w:val="el-GR"/>
        </w:rPr>
      </w:pPr>
      <w:r w:rsidRPr="00AA3EE7">
        <w:rPr>
          <w:lang w:val="el-GR"/>
        </w:rPr>
        <w:t>ΣΑΟΥΔΙΚΗ ΑΡΑΒΙΑ</w:t>
      </w:r>
    </w:p>
    <w:p w:rsidR="00111760" w:rsidRPr="00AA3EE7" w:rsidRDefault="00111760" w:rsidP="00AA3EE7">
      <w:pPr>
        <w:rPr>
          <w:lang w:val="el-GR"/>
        </w:rPr>
      </w:pPr>
      <w:r w:rsidRPr="00AA3EE7">
        <w:rPr>
          <w:lang w:val="el-GR"/>
        </w:rPr>
        <w:t>ΙΣΠΑΝΙΑ</w:t>
      </w:r>
    </w:p>
    <w:p w:rsidR="00111760" w:rsidRPr="00AA3EE7" w:rsidRDefault="00111760" w:rsidP="00AA3EE7">
      <w:pPr>
        <w:rPr>
          <w:lang w:val="el-GR"/>
        </w:rPr>
      </w:pPr>
      <w:r w:rsidRPr="00AA3EE7">
        <w:rPr>
          <w:lang w:val="el-GR"/>
        </w:rPr>
        <w:t>ΓΑΛΛΙΑ</w:t>
      </w:r>
    </w:p>
    <w:p w:rsidR="00111760" w:rsidRPr="00AA3EE7" w:rsidRDefault="00111760" w:rsidP="00AA3EE7">
      <w:pPr>
        <w:rPr>
          <w:lang w:val="el-GR"/>
        </w:rPr>
      </w:pPr>
      <w:r w:rsidRPr="00AA3EE7">
        <w:rPr>
          <w:lang w:val="el-GR"/>
        </w:rPr>
        <w:t>ΓΕΡΜΑΝΙΑ</w:t>
      </w:r>
    </w:p>
    <w:p w:rsidR="00111760" w:rsidRPr="00AA3EE7" w:rsidRDefault="00111760" w:rsidP="00AA3EE7">
      <w:pPr>
        <w:rPr>
          <w:lang w:val="el-GR"/>
        </w:rPr>
      </w:pPr>
      <w:r w:rsidRPr="00AA3EE7">
        <w:rPr>
          <w:lang w:val="el-GR"/>
        </w:rPr>
        <w:t>Η Π Α</w:t>
      </w:r>
    </w:p>
    <w:p w:rsidR="00111760" w:rsidRPr="00AA3EE7" w:rsidRDefault="00111760" w:rsidP="00AA3EE7">
      <w:pPr>
        <w:rPr>
          <w:lang w:val="el-GR"/>
        </w:rPr>
      </w:pPr>
      <w:r w:rsidRPr="00AA3EE7">
        <w:rPr>
          <w:lang w:val="el-GR"/>
        </w:rPr>
        <w:t>ΤΥΝΗΣΙΑ</w:t>
      </w:r>
    </w:p>
    <w:p w:rsidR="00111760" w:rsidRPr="00AA3EE7" w:rsidRDefault="00111760" w:rsidP="00AA3EE7">
      <w:pPr>
        <w:rPr>
          <w:lang w:val="el-GR"/>
        </w:rPr>
      </w:pPr>
      <w:r w:rsidRPr="00AA3EE7">
        <w:rPr>
          <w:lang w:val="el-GR"/>
        </w:rPr>
        <w:t>ΕΝΩΜΕΝΑ ΑΡΑΒΙΚΑ ΕΜΙΡΑΤΑ</w:t>
      </w:r>
    </w:p>
    <w:p w:rsidR="00111760" w:rsidRDefault="00111760" w:rsidP="00AA3EE7">
      <w:pPr>
        <w:rPr>
          <w:b/>
          <w:bCs/>
          <w:lang w:val="el-GR"/>
        </w:rPr>
      </w:pPr>
    </w:p>
    <w:p w:rsidR="00111760" w:rsidRDefault="00111760" w:rsidP="00AA3EE7">
      <w:pPr>
        <w:rPr>
          <w:b/>
          <w:bCs/>
          <w:lang w:val="el-GR"/>
        </w:rPr>
      </w:pPr>
    </w:p>
    <w:p w:rsidR="00111760" w:rsidRDefault="00111760" w:rsidP="00AA3EE7">
      <w:pPr>
        <w:rPr>
          <w:b/>
          <w:bCs/>
          <w:lang w:val="el-GR"/>
        </w:rPr>
      </w:pPr>
    </w:p>
    <w:p w:rsidR="00111760" w:rsidRDefault="00111760" w:rsidP="00AA3EE7">
      <w:pPr>
        <w:rPr>
          <w:b/>
          <w:bCs/>
          <w:lang w:val="el-GR"/>
        </w:rPr>
      </w:pPr>
    </w:p>
    <w:p w:rsidR="00111760" w:rsidRDefault="00111760" w:rsidP="00AA3EE7">
      <w:pPr>
        <w:rPr>
          <w:b/>
          <w:bCs/>
          <w:lang w:val="el-GR"/>
        </w:rPr>
      </w:pPr>
    </w:p>
    <w:p w:rsidR="00111760" w:rsidRDefault="00111760" w:rsidP="00AA3EE7">
      <w:pPr>
        <w:rPr>
          <w:b/>
          <w:bCs/>
          <w:lang w:val="el-GR"/>
        </w:rPr>
      </w:pPr>
    </w:p>
    <w:p w:rsidR="00111760" w:rsidRDefault="00111760" w:rsidP="00A81455">
      <w:pPr>
        <w:rPr>
          <w:b/>
          <w:bCs/>
          <w:lang w:val="el-GR"/>
        </w:rPr>
      </w:pPr>
      <w:r w:rsidRPr="00A93FB4">
        <w:rPr>
          <w:b/>
          <w:bCs/>
          <w:lang w:val="el-GR"/>
        </w:rPr>
        <w:t xml:space="preserve">Νομός </w:t>
      </w:r>
      <w:r>
        <w:rPr>
          <w:b/>
          <w:bCs/>
          <w:lang w:val="el-GR"/>
        </w:rPr>
        <w:t>Καβάλας</w:t>
      </w:r>
    </w:p>
    <w:p w:rsidR="00111760" w:rsidRDefault="00111760" w:rsidP="00A81455">
      <w:pPr>
        <w:rPr>
          <w:lang w:val="el-GR"/>
        </w:rPr>
      </w:pPr>
    </w:p>
    <w:p w:rsidR="00111760" w:rsidRPr="00DD689E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  <w:r w:rsidRPr="008636E7">
        <w:rPr>
          <w:lang w:val="el-GR"/>
        </w:rPr>
        <w:t xml:space="preserve">Οι κυριότεροι εξαγώγιμοι κλάδοι </w:t>
      </w:r>
      <w:r>
        <w:rPr>
          <w:lang w:val="el-GR"/>
        </w:rPr>
        <w:t>του νομού Καβάλας κατά το 2013 ήταν:</w:t>
      </w: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Pr="00422C8C" w:rsidRDefault="00111760" w:rsidP="00422C8C">
      <w:pPr>
        <w:rPr>
          <w:lang w:val="el-GR"/>
        </w:rPr>
      </w:pPr>
      <w:r w:rsidRPr="00422C8C">
        <w:rPr>
          <w:lang w:val="el-GR"/>
        </w:rPr>
        <w:t>Λιπάσματα</w:t>
      </w:r>
    </w:p>
    <w:p w:rsidR="00111760" w:rsidRPr="00422C8C" w:rsidRDefault="00111760" w:rsidP="00422C8C">
      <w:pPr>
        <w:rPr>
          <w:lang w:val="el-GR"/>
        </w:rPr>
      </w:pPr>
      <w:r w:rsidRPr="00422C8C">
        <w:rPr>
          <w:lang w:val="el-GR"/>
        </w:rPr>
        <w:t>Καρποί και φρούτα νωπά</w:t>
      </w:r>
    </w:p>
    <w:p w:rsidR="00111760" w:rsidRPr="00422C8C" w:rsidRDefault="00111760" w:rsidP="00422C8C">
      <w:pPr>
        <w:rPr>
          <w:lang w:val="el-GR"/>
        </w:rPr>
      </w:pPr>
      <w:r w:rsidRPr="00422C8C">
        <w:rPr>
          <w:lang w:val="el-GR"/>
        </w:rPr>
        <w:t>Ορυκτά καύσιμα, λάδια και ασφαλτώδεις ύλες</w:t>
      </w:r>
    </w:p>
    <w:p w:rsidR="00111760" w:rsidRPr="00422C8C" w:rsidRDefault="00111760" w:rsidP="00422C8C">
      <w:pPr>
        <w:rPr>
          <w:lang w:val="el-GR"/>
        </w:rPr>
      </w:pPr>
      <w:r w:rsidRPr="00422C8C">
        <w:rPr>
          <w:lang w:val="el-GR"/>
        </w:rPr>
        <w:t>Καπνά και υποκατάστατα καπνού</w:t>
      </w:r>
    </w:p>
    <w:p w:rsidR="00111760" w:rsidRPr="00422C8C" w:rsidRDefault="00111760" w:rsidP="00422C8C">
      <w:pPr>
        <w:rPr>
          <w:lang w:val="el-GR"/>
        </w:rPr>
      </w:pPr>
      <w:r w:rsidRPr="00422C8C">
        <w:rPr>
          <w:lang w:val="el-GR"/>
        </w:rPr>
        <w:t xml:space="preserve">Αλάτι. Θείο. Γύψος, ασβέστης και τσιμέντα </w:t>
      </w:r>
    </w:p>
    <w:p w:rsidR="00111760" w:rsidRPr="00422C8C" w:rsidRDefault="00111760" w:rsidP="00422C8C">
      <w:pPr>
        <w:rPr>
          <w:lang w:val="el-GR"/>
        </w:rPr>
      </w:pPr>
      <w:r w:rsidRPr="00422C8C">
        <w:rPr>
          <w:lang w:val="el-GR"/>
        </w:rPr>
        <w:t>Λαχανικά</w:t>
      </w:r>
    </w:p>
    <w:p w:rsidR="00111760" w:rsidRPr="00422C8C" w:rsidRDefault="00111760" w:rsidP="00422C8C">
      <w:pPr>
        <w:rPr>
          <w:lang w:val="el-GR"/>
        </w:rPr>
      </w:pPr>
      <w:r w:rsidRPr="00422C8C">
        <w:rPr>
          <w:lang w:val="el-GR"/>
        </w:rPr>
        <w:t>Τεχνουργήματα από πέτρες, γύψο, τσιμέντο, αμίαντο, μάρμαρο</w:t>
      </w:r>
    </w:p>
    <w:p w:rsidR="00111760" w:rsidRPr="00422C8C" w:rsidRDefault="00111760" w:rsidP="00422C8C">
      <w:pPr>
        <w:rPr>
          <w:lang w:val="el-GR"/>
        </w:rPr>
      </w:pPr>
      <w:r w:rsidRPr="00422C8C">
        <w:rPr>
          <w:lang w:val="el-GR"/>
        </w:rPr>
        <w:t>Ψάρια και μαλακόστρακα, μαλάκια</w:t>
      </w:r>
    </w:p>
    <w:p w:rsidR="00111760" w:rsidRPr="00422C8C" w:rsidRDefault="00111760" w:rsidP="00422C8C">
      <w:pPr>
        <w:rPr>
          <w:lang w:val="el-GR"/>
        </w:rPr>
      </w:pPr>
      <w:r w:rsidRPr="00422C8C">
        <w:rPr>
          <w:lang w:val="el-GR"/>
        </w:rPr>
        <w:t>Ζάχαρα και Ζαχαρώδη παρασκευάσματα</w:t>
      </w:r>
    </w:p>
    <w:p w:rsidR="00111760" w:rsidRPr="00422C8C" w:rsidRDefault="00111760" w:rsidP="00422C8C">
      <w:pPr>
        <w:rPr>
          <w:lang w:val="el-GR"/>
        </w:rPr>
      </w:pPr>
      <w:r w:rsidRPr="00422C8C">
        <w:rPr>
          <w:lang w:val="el-GR"/>
        </w:rPr>
        <w:t>Δημητριακά</w:t>
      </w:r>
    </w:p>
    <w:p w:rsidR="00111760" w:rsidRPr="00422C8C" w:rsidRDefault="00111760" w:rsidP="00422C8C">
      <w:pPr>
        <w:rPr>
          <w:lang w:val="el-GR"/>
        </w:rPr>
      </w:pPr>
      <w:r w:rsidRPr="00422C8C">
        <w:rPr>
          <w:lang w:val="el-GR"/>
        </w:rPr>
        <w:t>Βαμβάκι</w:t>
      </w:r>
    </w:p>
    <w:p w:rsidR="00111760" w:rsidRPr="00422C8C" w:rsidRDefault="00111760" w:rsidP="00422C8C">
      <w:pPr>
        <w:rPr>
          <w:lang w:val="el-GR"/>
        </w:rPr>
      </w:pPr>
      <w:r w:rsidRPr="00422C8C">
        <w:rPr>
          <w:lang w:val="el-GR"/>
        </w:rPr>
        <w:t>Υφάσματα πλεκτά</w:t>
      </w:r>
    </w:p>
    <w:p w:rsidR="00111760" w:rsidRDefault="00111760" w:rsidP="00422C8C">
      <w:pPr>
        <w:rPr>
          <w:lang w:val="el-GR"/>
        </w:rPr>
      </w:pPr>
      <w:r w:rsidRPr="00422C8C">
        <w:rPr>
          <w:lang w:val="el-GR"/>
        </w:rPr>
        <w:t>Ενδύματα και συμπληρώματα του ενδύματος, σταθερά</w:t>
      </w:r>
    </w:p>
    <w:p w:rsidR="00111760" w:rsidRDefault="00111760" w:rsidP="00422C8C">
      <w:pPr>
        <w:rPr>
          <w:lang w:val="el-GR"/>
        </w:rPr>
      </w:pPr>
    </w:p>
    <w:p w:rsidR="00111760" w:rsidRDefault="00111760" w:rsidP="00422C8C">
      <w:pPr>
        <w:rPr>
          <w:lang w:val="el-GR"/>
        </w:rPr>
      </w:pPr>
    </w:p>
    <w:p w:rsidR="00111760" w:rsidRDefault="00111760" w:rsidP="00422C8C">
      <w:pPr>
        <w:rPr>
          <w:lang w:val="el-GR"/>
        </w:rPr>
      </w:pPr>
    </w:p>
    <w:p w:rsidR="00111760" w:rsidRDefault="00111760" w:rsidP="00422C8C">
      <w:pPr>
        <w:rPr>
          <w:lang w:val="el-GR"/>
        </w:rPr>
      </w:pPr>
    </w:p>
    <w:p w:rsidR="00111760" w:rsidRDefault="00111760" w:rsidP="003A549B">
      <w:pPr>
        <w:jc w:val="both"/>
        <w:rPr>
          <w:lang w:val="el-GR"/>
        </w:rPr>
      </w:pPr>
      <w:r>
        <w:rPr>
          <w:lang w:val="el-GR"/>
        </w:rPr>
        <w:t>Οι κυριότερες χώρες προορισμού των προϊόντων του νομού Καβάλας κατά το 2013 ήταν:</w:t>
      </w:r>
    </w:p>
    <w:p w:rsidR="00111760" w:rsidRDefault="00111760" w:rsidP="003A549B">
      <w:pPr>
        <w:rPr>
          <w:lang w:val="el-GR"/>
        </w:rPr>
      </w:pPr>
    </w:p>
    <w:p w:rsidR="00111760" w:rsidRDefault="00111760" w:rsidP="003A549B">
      <w:pPr>
        <w:rPr>
          <w:lang w:val="el-GR"/>
        </w:rPr>
      </w:pP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ΓΕΡΜΑΝΙΑ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ΤΟΥΡΚΙΑ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ΕΦΟΔ.ΠΛΟΙΩΝ ΜΕ ΧΩΡΕΣ ΕΕ.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ΒΟΥΛΓΑΡΙΑ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ΙΤΑΛΙΑ</w:t>
      </w:r>
    </w:p>
    <w:p w:rsidR="00111760" w:rsidRPr="003A549B" w:rsidRDefault="00111760" w:rsidP="003A549B">
      <w:pPr>
        <w:rPr>
          <w:lang w:val="el-GR"/>
        </w:rPr>
      </w:pPr>
      <w:r>
        <w:rPr>
          <w:lang w:val="el-GR"/>
        </w:rPr>
        <w:t>Π.Γ.Δ.Μ.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ΑΛΓΕΡΙΑ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ΙΝΔΟΝΗΣΙΑ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ΙΣΠΑΝΙΑ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ΚΥΠΡΟΣ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ΠΟΛΩΝΙΑ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ΝΟΤΙΑ ΚΟΡΕΑ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ΒΕΛΓΙΟ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ΓΑΛΛΙΑ</w:t>
      </w: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b/>
          <w:bCs/>
          <w:lang w:val="el-GR"/>
        </w:rPr>
      </w:pPr>
      <w:r w:rsidRPr="004B1914">
        <w:rPr>
          <w:b/>
          <w:bCs/>
          <w:lang w:val="el-GR"/>
        </w:rPr>
        <w:t>Νομός Έβρου</w:t>
      </w:r>
    </w:p>
    <w:p w:rsidR="00111760" w:rsidRDefault="00111760" w:rsidP="00A81455">
      <w:pPr>
        <w:rPr>
          <w:b/>
          <w:bCs/>
          <w:lang w:val="el-GR"/>
        </w:rPr>
      </w:pPr>
    </w:p>
    <w:p w:rsidR="00111760" w:rsidRPr="004B1914" w:rsidRDefault="00111760" w:rsidP="00A81455">
      <w:pPr>
        <w:rPr>
          <w:b/>
          <w:bCs/>
          <w:lang w:val="el-GR"/>
        </w:rPr>
      </w:pPr>
    </w:p>
    <w:p w:rsidR="00111760" w:rsidRDefault="00111760" w:rsidP="004B1914">
      <w:pPr>
        <w:rPr>
          <w:lang w:val="el-GR"/>
        </w:rPr>
      </w:pPr>
      <w:r w:rsidRPr="008636E7">
        <w:rPr>
          <w:lang w:val="el-GR"/>
        </w:rPr>
        <w:t xml:space="preserve">Οι κυριότεροι εξαγώγιμοι κλάδοι </w:t>
      </w:r>
      <w:r>
        <w:rPr>
          <w:lang w:val="el-GR"/>
        </w:rPr>
        <w:t>του νομού Έβρου κατά το 2013 ήταν:</w:t>
      </w:r>
    </w:p>
    <w:p w:rsidR="00111760" w:rsidRDefault="00111760" w:rsidP="00A81455">
      <w:pPr>
        <w:rPr>
          <w:b/>
          <w:bCs/>
          <w:lang w:val="el-GR"/>
        </w:rPr>
      </w:pPr>
    </w:p>
    <w:p w:rsidR="00111760" w:rsidRPr="004B1914" w:rsidRDefault="00111760" w:rsidP="00A81455">
      <w:pPr>
        <w:rPr>
          <w:b/>
          <w:bCs/>
          <w:lang w:val="el-GR"/>
        </w:rPr>
      </w:pPr>
    </w:p>
    <w:p w:rsidR="00111760" w:rsidRPr="00F14676" w:rsidRDefault="00111760" w:rsidP="00F14676">
      <w:pPr>
        <w:rPr>
          <w:lang w:val="el-GR"/>
        </w:rPr>
      </w:pPr>
      <w:r w:rsidRPr="00F14676">
        <w:rPr>
          <w:lang w:val="el-GR"/>
        </w:rPr>
        <w:t>Ορυκτά καύσιμα, λάδια και ασφαλτώδεις ύλες</w:t>
      </w:r>
    </w:p>
    <w:p w:rsidR="00111760" w:rsidRPr="00F14676" w:rsidRDefault="00111760" w:rsidP="00F14676">
      <w:pPr>
        <w:rPr>
          <w:lang w:val="el-GR"/>
        </w:rPr>
      </w:pPr>
      <w:r w:rsidRPr="00F14676">
        <w:rPr>
          <w:lang w:val="el-GR"/>
        </w:rPr>
        <w:t>Γαλακτοκομικά</w:t>
      </w:r>
    </w:p>
    <w:p w:rsidR="00111760" w:rsidRPr="00F14676" w:rsidRDefault="00111760" w:rsidP="00F14676">
      <w:pPr>
        <w:rPr>
          <w:lang w:val="el-GR"/>
        </w:rPr>
      </w:pPr>
      <w:r w:rsidRPr="00F14676">
        <w:rPr>
          <w:lang w:val="el-GR"/>
        </w:rPr>
        <w:t>Δημητριακά</w:t>
      </w:r>
    </w:p>
    <w:p w:rsidR="00111760" w:rsidRPr="00F14676" w:rsidRDefault="00111760" w:rsidP="00F14676">
      <w:pPr>
        <w:rPr>
          <w:lang w:val="el-GR"/>
        </w:rPr>
      </w:pPr>
      <w:r w:rsidRPr="00F14676">
        <w:rPr>
          <w:lang w:val="el-GR"/>
        </w:rPr>
        <w:t>Ξυλεία και τεχνουργήματα από ξύλο</w:t>
      </w:r>
    </w:p>
    <w:p w:rsidR="00111760" w:rsidRPr="00F14676" w:rsidRDefault="00111760" w:rsidP="00F14676">
      <w:pPr>
        <w:rPr>
          <w:lang w:val="el-GR"/>
        </w:rPr>
      </w:pPr>
      <w:r w:rsidRPr="00F14676">
        <w:rPr>
          <w:lang w:val="el-GR"/>
        </w:rPr>
        <w:t>Προϊόντα αλευροποιίας</w:t>
      </w:r>
    </w:p>
    <w:p w:rsidR="00111760" w:rsidRPr="00F14676" w:rsidRDefault="00111760" w:rsidP="00F14676">
      <w:pPr>
        <w:rPr>
          <w:lang w:val="el-GR"/>
        </w:rPr>
      </w:pPr>
      <w:r w:rsidRPr="00F14676">
        <w:rPr>
          <w:lang w:val="el-GR"/>
        </w:rPr>
        <w:t>Αυτοκίνητα οχήματα, ελκυστήρες, ποδήλατα και χερσαία οχήματα</w:t>
      </w:r>
    </w:p>
    <w:p w:rsidR="00111760" w:rsidRPr="00F14676" w:rsidRDefault="00111760" w:rsidP="00F14676">
      <w:pPr>
        <w:rPr>
          <w:lang w:val="el-GR"/>
        </w:rPr>
      </w:pPr>
      <w:r w:rsidRPr="00F14676">
        <w:rPr>
          <w:lang w:val="el-GR"/>
        </w:rPr>
        <w:t>Λέβητες, μηχανές, συσκευές και μηχανικές επινοήσεις και μέρη</w:t>
      </w:r>
    </w:p>
    <w:p w:rsidR="00111760" w:rsidRPr="00F14676" w:rsidRDefault="00111760" w:rsidP="00F14676">
      <w:pPr>
        <w:rPr>
          <w:lang w:val="el-GR"/>
        </w:rPr>
      </w:pPr>
      <w:r w:rsidRPr="00F14676">
        <w:rPr>
          <w:lang w:val="el-GR"/>
        </w:rPr>
        <w:t>Λαχανικά</w:t>
      </w:r>
    </w:p>
    <w:p w:rsidR="00111760" w:rsidRPr="00F14676" w:rsidRDefault="00111760" w:rsidP="00F14676">
      <w:pPr>
        <w:rPr>
          <w:lang w:val="el-GR"/>
        </w:rPr>
      </w:pPr>
      <w:r w:rsidRPr="00F14676">
        <w:rPr>
          <w:lang w:val="el-GR"/>
        </w:rPr>
        <w:t>Μόλυβδος και τεχνουργήματα από μόλυβδο</w:t>
      </w:r>
    </w:p>
    <w:p w:rsidR="00111760" w:rsidRPr="00F14676" w:rsidRDefault="00111760" w:rsidP="00F14676">
      <w:pPr>
        <w:rPr>
          <w:lang w:val="el-GR"/>
        </w:rPr>
      </w:pPr>
      <w:r w:rsidRPr="00F14676">
        <w:rPr>
          <w:lang w:val="el-GR"/>
        </w:rPr>
        <w:t>Πλαστικές ύλες</w:t>
      </w:r>
    </w:p>
    <w:p w:rsidR="00111760" w:rsidRPr="00F14676" w:rsidRDefault="00111760" w:rsidP="00F14676">
      <w:pPr>
        <w:rPr>
          <w:lang w:val="el-GR"/>
        </w:rPr>
      </w:pPr>
      <w:r w:rsidRPr="00F14676">
        <w:rPr>
          <w:lang w:val="el-GR"/>
        </w:rPr>
        <w:t>Παρασκευάσματα κρεάτων και ψαριών</w:t>
      </w:r>
    </w:p>
    <w:p w:rsidR="00111760" w:rsidRPr="00F14676" w:rsidRDefault="00111760" w:rsidP="00F14676">
      <w:pPr>
        <w:rPr>
          <w:lang w:val="el-GR"/>
        </w:rPr>
      </w:pPr>
      <w:r w:rsidRPr="00F14676">
        <w:rPr>
          <w:lang w:val="el-GR"/>
        </w:rPr>
        <w:t>Βαμβάκι</w:t>
      </w: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3A549B">
      <w:pPr>
        <w:jc w:val="both"/>
        <w:rPr>
          <w:lang w:val="el-GR"/>
        </w:rPr>
      </w:pPr>
      <w:r>
        <w:rPr>
          <w:lang w:val="el-GR"/>
        </w:rPr>
        <w:t>Οι κυριότερες χώρες προορισμού των προϊόντων του νομού Έβρου κατά το 2013 ήταν:</w:t>
      </w: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ΤΟΥΡΚΙΑ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ΒΟΥΛΓΑΡΙΑ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ΓΕΡΜΑΝΙΑ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ΙΤΑΛΙΑ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ΚΥΠΡΟΣ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ΡΟΥΜΑΝΙΑ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ΛΙΒΑΝΟΣ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ΑΥΣΤΡΙΑ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ΓΑΛΛΙΑ</w:t>
      </w:r>
    </w:p>
    <w:p w:rsidR="00111760" w:rsidRPr="003A549B" w:rsidRDefault="00111760" w:rsidP="003A549B">
      <w:pPr>
        <w:rPr>
          <w:lang w:val="el-GR"/>
        </w:rPr>
      </w:pPr>
      <w:r w:rsidRPr="003A549B">
        <w:rPr>
          <w:lang w:val="el-GR"/>
        </w:rPr>
        <w:t>ΤΥΝΗΣΙΑ</w:t>
      </w:r>
    </w:p>
    <w:p w:rsidR="00111760" w:rsidRDefault="00111760" w:rsidP="003A549B">
      <w:pPr>
        <w:rPr>
          <w:lang w:val="el-GR"/>
        </w:rPr>
      </w:pPr>
      <w:r w:rsidRPr="003A549B">
        <w:rPr>
          <w:lang w:val="el-GR"/>
        </w:rPr>
        <w:t>ΣΕΡΒΙΑ</w:t>
      </w:r>
    </w:p>
    <w:p w:rsidR="00111760" w:rsidRDefault="00111760" w:rsidP="003A549B">
      <w:pPr>
        <w:rPr>
          <w:lang w:val="el-GR"/>
        </w:rPr>
      </w:pPr>
    </w:p>
    <w:p w:rsidR="00111760" w:rsidRDefault="00111760" w:rsidP="003A549B">
      <w:pPr>
        <w:rPr>
          <w:lang w:val="el-GR"/>
        </w:rPr>
      </w:pPr>
    </w:p>
    <w:p w:rsidR="00111760" w:rsidRDefault="00111760" w:rsidP="003A549B">
      <w:pPr>
        <w:rPr>
          <w:lang w:val="el-GR"/>
        </w:rPr>
      </w:pPr>
    </w:p>
    <w:p w:rsidR="00111760" w:rsidRDefault="00111760" w:rsidP="003A549B">
      <w:pPr>
        <w:rPr>
          <w:lang w:val="el-GR"/>
        </w:rPr>
      </w:pPr>
    </w:p>
    <w:p w:rsidR="00111760" w:rsidRDefault="00111760" w:rsidP="003A549B">
      <w:pPr>
        <w:rPr>
          <w:lang w:val="el-GR"/>
        </w:rPr>
      </w:pPr>
    </w:p>
    <w:p w:rsidR="00111760" w:rsidRDefault="00111760" w:rsidP="003A549B">
      <w:pPr>
        <w:rPr>
          <w:lang w:val="el-GR"/>
        </w:rPr>
      </w:pPr>
    </w:p>
    <w:p w:rsidR="00111760" w:rsidRDefault="00111760" w:rsidP="003A549B">
      <w:pPr>
        <w:rPr>
          <w:lang w:val="el-GR"/>
        </w:rPr>
      </w:pPr>
    </w:p>
    <w:p w:rsidR="00111760" w:rsidRDefault="00111760" w:rsidP="003A549B">
      <w:pPr>
        <w:rPr>
          <w:lang w:val="el-GR"/>
        </w:rPr>
      </w:pPr>
    </w:p>
    <w:p w:rsidR="00111760" w:rsidRDefault="00111760" w:rsidP="003A549B">
      <w:pPr>
        <w:rPr>
          <w:lang w:val="el-GR"/>
        </w:rPr>
      </w:pPr>
    </w:p>
    <w:p w:rsidR="00111760" w:rsidRDefault="00111760" w:rsidP="003A549B">
      <w:pPr>
        <w:rPr>
          <w:lang w:val="el-GR"/>
        </w:rPr>
      </w:pPr>
    </w:p>
    <w:p w:rsidR="00111760" w:rsidRDefault="00111760" w:rsidP="00A81455">
      <w:pPr>
        <w:rPr>
          <w:b/>
          <w:bCs/>
          <w:lang w:val="el-GR"/>
        </w:rPr>
      </w:pPr>
      <w:r w:rsidRPr="00A93FB4">
        <w:rPr>
          <w:b/>
          <w:bCs/>
          <w:lang w:val="el-GR"/>
        </w:rPr>
        <w:t xml:space="preserve">Νομός </w:t>
      </w:r>
      <w:r>
        <w:rPr>
          <w:b/>
          <w:bCs/>
          <w:lang w:val="el-GR"/>
        </w:rPr>
        <w:t>Ξάνθης</w:t>
      </w:r>
    </w:p>
    <w:p w:rsidR="00111760" w:rsidRDefault="00111760" w:rsidP="00A81455">
      <w:pPr>
        <w:rPr>
          <w:b/>
          <w:bCs/>
          <w:lang w:val="el-GR"/>
        </w:rPr>
      </w:pPr>
    </w:p>
    <w:p w:rsidR="00111760" w:rsidRDefault="00111760" w:rsidP="00A81455">
      <w:pPr>
        <w:rPr>
          <w:b/>
          <w:bCs/>
          <w:lang w:val="el-GR"/>
        </w:rPr>
      </w:pPr>
    </w:p>
    <w:p w:rsidR="00111760" w:rsidRDefault="00111760" w:rsidP="00600CD6">
      <w:pPr>
        <w:rPr>
          <w:lang w:val="el-GR"/>
        </w:rPr>
      </w:pPr>
      <w:r w:rsidRPr="008636E7">
        <w:rPr>
          <w:lang w:val="el-GR"/>
        </w:rPr>
        <w:t>Οι κυριότεροι εξαγώγιμοι κλάδοι</w:t>
      </w:r>
      <w:r w:rsidRPr="008636E7">
        <w:rPr>
          <w:b/>
          <w:bCs/>
          <w:lang w:val="el-GR"/>
        </w:rPr>
        <w:t xml:space="preserve"> </w:t>
      </w:r>
      <w:r>
        <w:rPr>
          <w:lang w:val="el-GR"/>
        </w:rPr>
        <w:t>του νομού Ξάνθης κατά το 2013 ήταν:</w:t>
      </w: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Pr="00600CD6" w:rsidRDefault="00111760" w:rsidP="00600CD6">
      <w:pPr>
        <w:rPr>
          <w:lang w:val="el-GR"/>
        </w:rPr>
      </w:pPr>
      <w:r w:rsidRPr="00600CD6">
        <w:rPr>
          <w:lang w:val="el-GR"/>
        </w:rPr>
        <w:t>Βάτες και υφάσματα μη υφασμένα. Σπάγκοι και σχοινιά</w:t>
      </w:r>
    </w:p>
    <w:p w:rsidR="00111760" w:rsidRPr="00600CD6" w:rsidRDefault="00111760" w:rsidP="00600CD6">
      <w:pPr>
        <w:rPr>
          <w:lang w:val="el-GR"/>
        </w:rPr>
      </w:pPr>
      <w:r w:rsidRPr="00600CD6">
        <w:rPr>
          <w:lang w:val="el-GR"/>
        </w:rPr>
        <w:t>Ενδύματα και συμπληρώματα του ενδύματος, πλεκτά</w:t>
      </w:r>
    </w:p>
    <w:p w:rsidR="00111760" w:rsidRPr="00600CD6" w:rsidRDefault="00111760" w:rsidP="00600CD6">
      <w:pPr>
        <w:rPr>
          <w:lang w:val="el-GR"/>
        </w:rPr>
      </w:pPr>
      <w:r w:rsidRPr="00600CD6">
        <w:rPr>
          <w:lang w:val="el-GR"/>
        </w:rPr>
        <w:t>Συνθετικές ή τεχνητές ίνες, συνεχείς</w:t>
      </w:r>
    </w:p>
    <w:p w:rsidR="00111760" w:rsidRPr="00600CD6" w:rsidRDefault="00111760" w:rsidP="00600CD6">
      <w:pPr>
        <w:rPr>
          <w:lang w:val="el-GR"/>
        </w:rPr>
      </w:pPr>
      <w:r w:rsidRPr="00600CD6">
        <w:rPr>
          <w:lang w:val="el-GR"/>
        </w:rPr>
        <w:t>Μηχανές, συσκευές και υλικά ηλεκτρικά και τα μέρη τους</w:t>
      </w:r>
    </w:p>
    <w:p w:rsidR="00111760" w:rsidRPr="00600CD6" w:rsidRDefault="00111760" w:rsidP="00600CD6">
      <w:pPr>
        <w:rPr>
          <w:lang w:val="el-GR"/>
        </w:rPr>
      </w:pPr>
      <w:r w:rsidRPr="00600CD6">
        <w:rPr>
          <w:lang w:val="el-GR"/>
        </w:rPr>
        <w:t>Καπνά και υποκατάστατα καπνού</w:t>
      </w:r>
    </w:p>
    <w:p w:rsidR="00111760" w:rsidRPr="00600CD6" w:rsidRDefault="00111760" w:rsidP="00600CD6">
      <w:pPr>
        <w:rPr>
          <w:lang w:val="el-GR"/>
        </w:rPr>
      </w:pPr>
      <w:r w:rsidRPr="00600CD6">
        <w:rPr>
          <w:lang w:val="el-GR"/>
        </w:rPr>
        <w:t>Πλαστικές ύλες</w:t>
      </w:r>
    </w:p>
    <w:p w:rsidR="00111760" w:rsidRPr="00600CD6" w:rsidRDefault="00111760" w:rsidP="00600CD6">
      <w:pPr>
        <w:rPr>
          <w:lang w:val="el-GR"/>
        </w:rPr>
      </w:pPr>
      <w:r w:rsidRPr="00600CD6">
        <w:rPr>
          <w:lang w:val="el-GR"/>
        </w:rPr>
        <w:t>Ειδικές χρήσεις που καθορίζονται από τις αρμόδιες κοινοτικές αρχές</w:t>
      </w:r>
    </w:p>
    <w:p w:rsidR="00111760" w:rsidRPr="00600CD6" w:rsidRDefault="00111760" w:rsidP="00600CD6">
      <w:pPr>
        <w:rPr>
          <w:lang w:val="el-GR"/>
        </w:rPr>
      </w:pPr>
      <w:r w:rsidRPr="00600CD6">
        <w:rPr>
          <w:lang w:val="el-GR"/>
        </w:rPr>
        <w:t>Συνθετικές ή τεχνητές ίνες, μη συνεχείς</w:t>
      </w:r>
    </w:p>
    <w:p w:rsidR="00111760" w:rsidRPr="00600CD6" w:rsidRDefault="00111760" w:rsidP="00600CD6">
      <w:pPr>
        <w:rPr>
          <w:lang w:val="el-GR"/>
        </w:rPr>
      </w:pPr>
      <w:r w:rsidRPr="00600CD6">
        <w:rPr>
          <w:lang w:val="el-GR"/>
        </w:rPr>
        <w:t>Παρασκευάσματα λαχανικών και φρούτων</w:t>
      </w:r>
    </w:p>
    <w:p w:rsidR="00111760" w:rsidRPr="00600CD6" w:rsidRDefault="00111760" w:rsidP="00600CD6">
      <w:pPr>
        <w:rPr>
          <w:lang w:val="el-GR"/>
        </w:rPr>
      </w:pPr>
      <w:r w:rsidRPr="00600CD6">
        <w:rPr>
          <w:lang w:val="el-GR"/>
        </w:rPr>
        <w:t>Επιπλα. Συσκευές φωτισμού, φωτεινές πινακίδες. Προκατασκευές</w:t>
      </w:r>
    </w:p>
    <w:p w:rsidR="00111760" w:rsidRPr="00600CD6" w:rsidRDefault="00111760" w:rsidP="00600CD6">
      <w:pPr>
        <w:rPr>
          <w:lang w:val="el-GR"/>
        </w:rPr>
      </w:pPr>
      <w:r w:rsidRPr="00600CD6">
        <w:rPr>
          <w:lang w:val="el-GR"/>
        </w:rPr>
        <w:t>Βαμβάκι</w:t>
      </w:r>
    </w:p>
    <w:p w:rsidR="00111760" w:rsidRPr="00600CD6" w:rsidRDefault="00111760" w:rsidP="00600CD6">
      <w:pPr>
        <w:rPr>
          <w:lang w:val="el-GR"/>
        </w:rPr>
      </w:pPr>
      <w:r w:rsidRPr="00600CD6">
        <w:rPr>
          <w:lang w:val="el-GR"/>
        </w:rPr>
        <w:t>Αργίλιο και τεχνουργήματα από αργίλιο</w:t>
      </w:r>
    </w:p>
    <w:p w:rsidR="00111760" w:rsidRPr="00600CD6" w:rsidRDefault="00111760" w:rsidP="00600CD6">
      <w:pPr>
        <w:rPr>
          <w:lang w:val="el-GR"/>
        </w:rPr>
      </w:pPr>
      <w:r w:rsidRPr="00600CD6">
        <w:rPr>
          <w:lang w:val="el-GR"/>
        </w:rPr>
        <w:t>Ψάρια και μαλακόστρακα, μαλάκια</w:t>
      </w: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BD206C">
      <w:pPr>
        <w:jc w:val="both"/>
        <w:rPr>
          <w:lang w:val="el-GR"/>
        </w:rPr>
      </w:pPr>
      <w:r>
        <w:rPr>
          <w:lang w:val="el-GR"/>
        </w:rPr>
        <w:t>Οι κυριότερες χώρες προορισμού των προϊόντων του νομού Ξάνθης κατά το 2013 ήταν:</w:t>
      </w:r>
    </w:p>
    <w:p w:rsidR="00111760" w:rsidRDefault="00111760" w:rsidP="00BD206C">
      <w:pPr>
        <w:rPr>
          <w:lang w:val="el-GR"/>
        </w:rPr>
      </w:pPr>
    </w:p>
    <w:p w:rsidR="00111760" w:rsidRDefault="00111760" w:rsidP="00BD206C">
      <w:pPr>
        <w:rPr>
          <w:lang w:val="el-GR"/>
        </w:rPr>
      </w:pPr>
    </w:p>
    <w:p w:rsidR="00111760" w:rsidRPr="00BD206C" w:rsidRDefault="00111760" w:rsidP="00BD206C">
      <w:pPr>
        <w:rPr>
          <w:lang w:val="el-GR"/>
        </w:rPr>
      </w:pPr>
      <w:r w:rsidRPr="00BD206C">
        <w:rPr>
          <w:lang w:val="el-GR"/>
        </w:rPr>
        <w:t>ΓΕΡΜΑΝΙΑ</w:t>
      </w:r>
    </w:p>
    <w:p w:rsidR="00111760" w:rsidRPr="00BD206C" w:rsidRDefault="00111760" w:rsidP="00BD206C">
      <w:pPr>
        <w:rPr>
          <w:lang w:val="el-GR"/>
        </w:rPr>
      </w:pPr>
      <w:r w:rsidRPr="00BD206C">
        <w:rPr>
          <w:lang w:val="el-GR"/>
        </w:rPr>
        <w:t>ΒΟΥΛΓΑΡΙΑ</w:t>
      </w:r>
    </w:p>
    <w:p w:rsidR="00111760" w:rsidRPr="00BD206C" w:rsidRDefault="00111760" w:rsidP="00BD206C">
      <w:pPr>
        <w:rPr>
          <w:lang w:val="el-GR"/>
        </w:rPr>
      </w:pPr>
      <w:r w:rsidRPr="00BD206C">
        <w:rPr>
          <w:lang w:val="el-GR"/>
        </w:rPr>
        <w:t>Η Π Α</w:t>
      </w:r>
    </w:p>
    <w:p w:rsidR="00111760" w:rsidRPr="00BD206C" w:rsidRDefault="00111760" w:rsidP="00BD206C">
      <w:pPr>
        <w:rPr>
          <w:lang w:val="el-GR"/>
        </w:rPr>
      </w:pPr>
      <w:r w:rsidRPr="00BD206C">
        <w:rPr>
          <w:lang w:val="el-GR"/>
        </w:rPr>
        <w:t>ΙΤΑΛΙΑ</w:t>
      </w:r>
    </w:p>
    <w:p w:rsidR="00111760" w:rsidRPr="00BD206C" w:rsidRDefault="00111760" w:rsidP="00BD206C">
      <w:pPr>
        <w:rPr>
          <w:lang w:val="el-GR"/>
        </w:rPr>
      </w:pPr>
      <w:r w:rsidRPr="00BD206C">
        <w:rPr>
          <w:lang w:val="el-GR"/>
        </w:rPr>
        <w:t>ΤΟΥΡΚΙΑ</w:t>
      </w:r>
    </w:p>
    <w:p w:rsidR="00111760" w:rsidRPr="00BD206C" w:rsidRDefault="00111760" w:rsidP="00BD206C">
      <w:pPr>
        <w:rPr>
          <w:lang w:val="el-GR"/>
        </w:rPr>
      </w:pPr>
      <w:r w:rsidRPr="00BD206C">
        <w:rPr>
          <w:lang w:val="el-GR"/>
        </w:rPr>
        <w:t>ΡΟΥΜΑΝΙΑ</w:t>
      </w:r>
    </w:p>
    <w:p w:rsidR="00111760" w:rsidRPr="00BD206C" w:rsidRDefault="00111760" w:rsidP="00BD206C">
      <w:pPr>
        <w:rPr>
          <w:lang w:val="el-GR"/>
        </w:rPr>
      </w:pPr>
      <w:r w:rsidRPr="00BD206C">
        <w:rPr>
          <w:lang w:val="el-GR"/>
        </w:rPr>
        <w:t>ΡΩΣΙΑ</w:t>
      </w:r>
    </w:p>
    <w:p w:rsidR="00111760" w:rsidRPr="00BD206C" w:rsidRDefault="00111760" w:rsidP="00BD206C">
      <w:pPr>
        <w:rPr>
          <w:lang w:val="el-GR"/>
        </w:rPr>
      </w:pPr>
      <w:r w:rsidRPr="00BD206C">
        <w:rPr>
          <w:lang w:val="el-GR"/>
        </w:rPr>
        <w:t>ΠΕΡΟΥ</w:t>
      </w:r>
    </w:p>
    <w:p w:rsidR="00111760" w:rsidRPr="00BD206C" w:rsidRDefault="00111760" w:rsidP="00BD206C">
      <w:pPr>
        <w:rPr>
          <w:lang w:val="el-GR"/>
        </w:rPr>
      </w:pPr>
      <w:r w:rsidRPr="00BD206C">
        <w:rPr>
          <w:lang w:val="el-GR"/>
        </w:rPr>
        <w:t>ΗΝΩΜΕΝΟ ΒΑΣΙΛΕΙΟ</w:t>
      </w:r>
    </w:p>
    <w:p w:rsidR="00111760" w:rsidRPr="00BD206C" w:rsidRDefault="00111760" w:rsidP="00BD206C">
      <w:pPr>
        <w:rPr>
          <w:lang w:val="el-GR"/>
        </w:rPr>
      </w:pPr>
      <w:r w:rsidRPr="00BD206C">
        <w:rPr>
          <w:lang w:val="el-GR"/>
        </w:rPr>
        <w:t>ΠΟΛΩΝΙΑ</w:t>
      </w:r>
    </w:p>
    <w:p w:rsidR="00111760" w:rsidRPr="00BD206C" w:rsidRDefault="00111760" w:rsidP="00BD206C">
      <w:pPr>
        <w:rPr>
          <w:lang w:val="el-GR"/>
        </w:rPr>
      </w:pPr>
      <w:r w:rsidRPr="00BD206C">
        <w:rPr>
          <w:lang w:val="el-GR"/>
        </w:rPr>
        <w:t>ΚΑΤΩ ΧΩΡΕΣ</w:t>
      </w:r>
    </w:p>
    <w:p w:rsidR="00111760" w:rsidRPr="00BD206C" w:rsidRDefault="00111760" w:rsidP="00BD206C">
      <w:pPr>
        <w:rPr>
          <w:lang w:val="el-GR"/>
        </w:rPr>
      </w:pPr>
      <w:r w:rsidRPr="00BD206C">
        <w:rPr>
          <w:lang w:val="el-GR"/>
        </w:rPr>
        <w:t>ΣΟΥΗΔΙΑ</w:t>
      </w:r>
    </w:p>
    <w:p w:rsidR="00111760" w:rsidRDefault="00111760" w:rsidP="00BD206C">
      <w:pPr>
        <w:rPr>
          <w:lang w:val="el-GR"/>
        </w:rPr>
      </w:pPr>
      <w:r w:rsidRPr="00BD206C">
        <w:rPr>
          <w:lang w:val="el-GR"/>
        </w:rPr>
        <w:t>ΙΣΠΑΝΙΑ</w:t>
      </w:r>
    </w:p>
    <w:p w:rsidR="00111760" w:rsidRDefault="00111760" w:rsidP="00BD206C">
      <w:pPr>
        <w:rPr>
          <w:lang w:val="el-GR"/>
        </w:rPr>
      </w:pPr>
    </w:p>
    <w:p w:rsidR="00111760" w:rsidRPr="00BD206C" w:rsidRDefault="00111760" w:rsidP="00BD206C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Pr="00A705F3" w:rsidRDefault="00111760" w:rsidP="00A81455">
      <w:pPr>
        <w:rPr>
          <w:b/>
          <w:bCs/>
          <w:lang w:val="el-GR"/>
        </w:rPr>
      </w:pPr>
      <w:r w:rsidRPr="00A705F3">
        <w:rPr>
          <w:b/>
          <w:bCs/>
          <w:lang w:val="el-GR"/>
        </w:rPr>
        <w:t>Νομός Ροδόπης</w:t>
      </w:r>
    </w:p>
    <w:p w:rsidR="00111760" w:rsidRDefault="00111760" w:rsidP="00A81455">
      <w:pPr>
        <w:rPr>
          <w:b/>
          <w:bCs/>
          <w:lang w:val="el-GR"/>
        </w:rPr>
      </w:pPr>
    </w:p>
    <w:p w:rsidR="00111760" w:rsidRPr="00A705F3" w:rsidRDefault="00111760" w:rsidP="00A81455">
      <w:pPr>
        <w:rPr>
          <w:b/>
          <w:bCs/>
          <w:lang w:val="el-GR"/>
        </w:rPr>
      </w:pPr>
    </w:p>
    <w:p w:rsidR="00111760" w:rsidRDefault="00111760" w:rsidP="00A705F3">
      <w:pPr>
        <w:rPr>
          <w:lang w:val="el-GR"/>
        </w:rPr>
      </w:pPr>
      <w:r w:rsidRPr="008636E7">
        <w:rPr>
          <w:lang w:val="el-GR"/>
        </w:rPr>
        <w:t xml:space="preserve">Οι κυριότεροι εξαγώγιμοι κλάδοι </w:t>
      </w:r>
      <w:r>
        <w:rPr>
          <w:lang w:val="el-GR"/>
        </w:rPr>
        <w:t>του νομού Ροδόπης  κατά το 2013 ήταν:</w:t>
      </w: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Pr="00A705F3" w:rsidRDefault="00111760" w:rsidP="00A705F3">
      <w:pPr>
        <w:rPr>
          <w:lang w:val="el-GR"/>
        </w:rPr>
      </w:pPr>
      <w:r w:rsidRPr="00A705F3">
        <w:rPr>
          <w:lang w:val="el-GR"/>
        </w:rPr>
        <w:t>Πλαστικές ύλες</w:t>
      </w:r>
    </w:p>
    <w:p w:rsidR="00111760" w:rsidRPr="00A705F3" w:rsidRDefault="00111760" w:rsidP="00A705F3">
      <w:pPr>
        <w:rPr>
          <w:lang w:val="el-GR"/>
        </w:rPr>
      </w:pPr>
      <w:r w:rsidRPr="00A705F3">
        <w:rPr>
          <w:lang w:val="el-GR"/>
        </w:rPr>
        <w:t>Βαμβάκι</w:t>
      </w:r>
    </w:p>
    <w:p w:rsidR="00111760" w:rsidRPr="00A705F3" w:rsidRDefault="00111760" w:rsidP="00A705F3">
      <w:pPr>
        <w:rPr>
          <w:lang w:val="el-GR"/>
        </w:rPr>
      </w:pPr>
      <w:r w:rsidRPr="00A705F3">
        <w:rPr>
          <w:lang w:val="el-GR"/>
        </w:rPr>
        <w:t>Ποτά, αλκοολούχα  υγρά και ξύδι</w:t>
      </w:r>
    </w:p>
    <w:p w:rsidR="00111760" w:rsidRPr="00A705F3" w:rsidRDefault="00111760" w:rsidP="00A705F3">
      <w:pPr>
        <w:rPr>
          <w:lang w:val="el-GR"/>
        </w:rPr>
      </w:pPr>
      <w:r w:rsidRPr="00A705F3">
        <w:rPr>
          <w:lang w:val="el-GR"/>
        </w:rPr>
        <w:t>Υφάσματα πλεκτά</w:t>
      </w:r>
    </w:p>
    <w:p w:rsidR="00111760" w:rsidRPr="00A705F3" w:rsidRDefault="00111760" w:rsidP="00A705F3">
      <w:pPr>
        <w:rPr>
          <w:lang w:val="el-GR"/>
        </w:rPr>
      </w:pPr>
      <w:r w:rsidRPr="00A705F3">
        <w:rPr>
          <w:lang w:val="el-GR"/>
        </w:rPr>
        <w:t>Ενδύματα και συμπληρώματα του ενδύματος, πλεκτά</w:t>
      </w:r>
    </w:p>
    <w:p w:rsidR="00111760" w:rsidRPr="00A705F3" w:rsidRDefault="00111760" w:rsidP="00A705F3">
      <w:pPr>
        <w:rPr>
          <w:lang w:val="el-GR"/>
        </w:rPr>
      </w:pPr>
      <w:r w:rsidRPr="00A705F3">
        <w:rPr>
          <w:lang w:val="el-GR"/>
        </w:rPr>
        <w:t>Χαρτί και χαρτόνια</w:t>
      </w:r>
    </w:p>
    <w:p w:rsidR="00111760" w:rsidRPr="00A705F3" w:rsidRDefault="00111760" w:rsidP="00A705F3">
      <w:pPr>
        <w:rPr>
          <w:lang w:val="el-GR"/>
        </w:rPr>
      </w:pPr>
      <w:r w:rsidRPr="00A705F3">
        <w:rPr>
          <w:lang w:val="el-GR"/>
        </w:rPr>
        <w:t>Φαρμακευτικά προϊόντα</w:t>
      </w:r>
    </w:p>
    <w:p w:rsidR="00111760" w:rsidRPr="00A705F3" w:rsidRDefault="00111760" w:rsidP="00A705F3">
      <w:pPr>
        <w:rPr>
          <w:lang w:val="el-GR"/>
        </w:rPr>
      </w:pPr>
      <w:r w:rsidRPr="00A705F3">
        <w:rPr>
          <w:lang w:val="el-GR"/>
        </w:rPr>
        <w:t>Σπέρματα, σπόροι και διάφοροι καρποί</w:t>
      </w:r>
    </w:p>
    <w:p w:rsidR="00111760" w:rsidRPr="00A705F3" w:rsidRDefault="00111760" w:rsidP="00A705F3">
      <w:pPr>
        <w:rPr>
          <w:lang w:val="el-GR"/>
        </w:rPr>
      </w:pPr>
      <w:r w:rsidRPr="00A705F3">
        <w:rPr>
          <w:lang w:val="el-GR"/>
        </w:rPr>
        <w:t>Παρασκευάσματα με βάση τα δημητριακά</w:t>
      </w:r>
    </w:p>
    <w:p w:rsidR="00111760" w:rsidRPr="00A705F3" w:rsidRDefault="00111760" w:rsidP="00A705F3">
      <w:pPr>
        <w:rPr>
          <w:lang w:val="el-GR"/>
        </w:rPr>
      </w:pPr>
      <w:r w:rsidRPr="00A705F3">
        <w:rPr>
          <w:lang w:val="el-GR"/>
        </w:rPr>
        <w:t>Λιπάσματα</w:t>
      </w:r>
    </w:p>
    <w:p w:rsidR="00111760" w:rsidRPr="00A705F3" w:rsidRDefault="00111760" w:rsidP="00A705F3">
      <w:pPr>
        <w:rPr>
          <w:lang w:val="el-GR"/>
        </w:rPr>
      </w:pPr>
      <w:r w:rsidRPr="00A705F3">
        <w:rPr>
          <w:lang w:val="el-GR"/>
        </w:rPr>
        <w:t>Κακάο και παρασκευάσματα αυτού</w:t>
      </w:r>
    </w:p>
    <w:p w:rsidR="00111760" w:rsidRPr="00A705F3" w:rsidRDefault="00111760" w:rsidP="00A705F3">
      <w:pPr>
        <w:rPr>
          <w:lang w:val="el-GR"/>
        </w:rPr>
      </w:pPr>
      <w:r w:rsidRPr="00A705F3">
        <w:rPr>
          <w:lang w:val="el-GR"/>
        </w:rPr>
        <w:t>Ξυλεία και τεχνουργήματα από ξύλο</w:t>
      </w:r>
    </w:p>
    <w:p w:rsidR="00111760" w:rsidRPr="00A705F3" w:rsidRDefault="00111760" w:rsidP="00A705F3">
      <w:pPr>
        <w:rPr>
          <w:lang w:val="el-GR"/>
        </w:rPr>
      </w:pPr>
      <w:r w:rsidRPr="00A705F3">
        <w:rPr>
          <w:lang w:val="el-GR"/>
        </w:rPr>
        <w:t>Καρποί και φρούτα νωπά</w:t>
      </w: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BD206C">
      <w:pPr>
        <w:jc w:val="both"/>
        <w:rPr>
          <w:lang w:val="el-GR"/>
        </w:rPr>
      </w:pPr>
      <w:r>
        <w:rPr>
          <w:lang w:val="el-GR"/>
        </w:rPr>
        <w:t>Οι κυριότερες χώρες προορισμού των προϊόντων του νομού Ροδόπης κατά το 2013 ήταν:</w:t>
      </w: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Pr="00B80FF6" w:rsidRDefault="00111760" w:rsidP="00B80FF6">
      <w:pPr>
        <w:rPr>
          <w:lang w:val="el-GR"/>
        </w:rPr>
      </w:pPr>
      <w:r w:rsidRPr="00B80FF6">
        <w:rPr>
          <w:lang w:val="el-GR"/>
        </w:rPr>
        <w:t>ΤΟΥΡΚΙΑ</w:t>
      </w:r>
    </w:p>
    <w:p w:rsidR="00111760" w:rsidRPr="00B80FF6" w:rsidRDefault="00111760" w:rsidP="00B80FF6">
      <w:pPr>
        <w:rPr>
          <w:lang w:val="el-GR"/>
        </w:rPr>
      </w:pPr>
      <w:r w:rsidRPr="00B80FF6">
        <w:rPr>
          <w:lang w:val="el-GR"/>
        </w:rPr>
        <w:t>ΓΕΡΜΑΝΙΑ</w:t>
      </w:r>
    </w:p>
    <w:p w:rsidR="00111760" w:rsidRPr="00B80FF6" w:rsidRDefault="00111760" w:rsidP="00B80FF6">
      <w:pPr>
        <w:rPr>
          <w:lang w:val="el-GR"/>
        </w:rPr>
      </w:pPr>
      <w:r w:rsidRPr="00B80FF6">
        <w:rPr>
          <w:lang w:val="el-GR"/>
        </w:rPr>
        <w:t>ΓΑΛΛΙΑ</w:t>
      </w:r>
    </w:p>
    <w:p w:rsidR="00111760" w:rsidRPr="00B80FF6" w:rsidRDefault="00111760" w:rsidP="00B80FF6">
      <w:pPr>
        <w:rPr>
          <w:lang w:val="el-GR"/>
        </w:rPr>
      </w:pPr>
      <w:r w:rsidRPr="00B80FF6">
        <w:rPr>
          <w:lang w:val="el-GR"/>
        </w:rPr>
        <w:t>ΒΟΥΛΓΑΡΙΑ</w:t>
      </w:r>
    </w:p>
    <w:p w:rsidR="00111760" w:rsidRPr="00B80FF6" w:rsidRDefault="00111760" w:rsidP="00B80FF6">
      <w:pPr>
        <w:rPr>
          <w:lang w:val="el-GR"/>
        </w:rPr>
      </w:pPr>
      <w:r w:rsidRPr="00B80FF6">
        <w:rPr>
          <w:lang w:val="el-GR"/>
        </w:rPr>
        <w:t>ΚΑΤΩ ΧΩΡΕΣ</w:t>
      </w:r>
    </w:p>
    <w:p w:rsidR="00111760" w:rsidRPr="00B80FF6" w:rsidRDefault="00111760" w:rsidP="00B80FF6">
      <w:pPr>
        <w:rPr>
          <w:lang w:val="el-GR"/>
        </w:rPr>
      </w:pPr>
      <w:r w:rsidRPr="00B80FF6">
        <w:rPr>
          <w:lang w:val="el-GR"/>
        </w:rPr>
        <w:t>ΙΡΑΚ</w:t>
      </w:r>
    </w:p>
    <w:p w:rsidR="00111760" w:rsidRPr="00B80FF6" w:rsidRDefault="00111760" w:rsidP="00B80FF6">
      <w:pPr>
        <w:rPr>
          <w:lang w:val="el-GR"/>
        </w:rPr>
      </w:pPr>
      <w:r w:rsidRPr="00B80FF6">
        <w:rPr>
          <w:lang w:val="el-GR"/>
        </w:rPr>
        <w:t>ΙΣΠΑΝΙΑ</w:t>
      </w:r>
    </w:p>
    <w:p w:rsidR="00111760" w:rsidRPr="00B80FF6" w:rsidRDefault="00111760" w:rsidP="00B80FF6">
      <w:pPr>
        <w:rPr>
          <w:lang w:val="el-GR"/>
        </w:rPr>
      </w:pPr>
      <w:r w:rsidRPr="00B80FF6">
        <w:rPr>
          <w:lang w:val="el-GR"/>
        </w:rPr>
        <w:t>ΙΤΑΛΙΑ</w:t>
      </w:r>
    </w:p>
    <w:p w:rsidR="00111760" w:rsidRPr="00B80FF6" w:rsidRDefault="00111760" w:rsidP="00B80FF6">
      <w:pPr>
        <w:rPr>
          <w:lang w:val="el-GR"/>
        </w:rPr>
      </w:pPr>
      <w:r w:rsidRPr="00B80FF6">
        <w:rPr>
          <w:lang w:val="el-GR"/>
        </w:rPr>
        <w:t>ΑΛΒΑΝΙΑ</w:t>
      </w:r>
    </w:p>
    <w:p w:rsidR="00111760" w:rsidRPr="00B80FF6" w:rsidRDefault="00111760" w:rsidP="00B80FF6">
      <w:pPr>
        <w:rPr>
          <w:lang w:val="el-GR"/>
        </w:rPr>
      </w:pPr>
      <w:r w:rsidRPr="00B80FF6">
        <w:rPr>
          <w:lang w:val="el-GR"/>
        </w:rPr>
        <w:t>ΡΟΥΜΑΝΙΑ</w:t>
      </w:r>
    </w:p>
    <w:p w:rsidR="00111760" w:rsidRDefault="00111760" w:rsidP="00B80FF6">
      <w:pPr>
        <w:rPr>
          <w:lang w:val="el-GR"/>
        </w:rPr>
      </w:pPr>
      <w:r w:rsidRPr="00B80FF6">
        <w:rPr>
          <w:lang w:val="el-GR"/>
        </w:rPr>
        <w:t>ΚΥΠΡΟΣ</w:t>
      </w:r>
    </w:p>
    <w:p w:rsidR="00111760" w:rsidRDefault="00111760" w:rsidP="00B80FF6">
      <w:pPr>
        <w:rPr>
          <w:lang w:val="el-GR"/>
        </w:rPr>
      </w:pPr>
    </w:p>
    <w:p w:rsidR="00111760" w:rsidRDefault="00111760" w:rsidP="00B80FF6">
      <w:pPr>
        <w:rPr>
          <w:lang w:val="el-GR"/>
        </w:rPr>
      </w:pPr>
    </w:p>
    <w:p w:rsidR="00111760" w:rsidRDefault="00111760" w:rsidP="00B80FF6">
      <w:pPr>
        <w:rPr>
          <w:lang w:val="el-GR"/>
        </w:rPr>
      </w:pPr>
    </w:p>
    <w:p w:rsidR="00111760" w:rsidRDefault="00111760" w:rsidP="00B80FF6">
      <w:pPr>
        <w:rPr>
          <w:lang w:val="el-GR"/>
        </w:rPr>
      </w:pPr>
    </w:p>
    <w:p w:rsidR="00111760" w:rsidRDefault="00111760" w:rsidP="00B80FF6">
      <w:pPr>
        <w:rPr>
          <w:lang w:val="el-GR"/>
        </w:rPr>
      </w:pPr>
    </w:p>
    <w:p w:rsidR="00111760" w:rsidRDefault="00111760" w:rsidP="00B80FF6">
      <w:pPr>
        <w:rPr>
          <w:lang w:val="el-GR"/>
        </w:rPr>
      </w:pPr>
    </w:p>
    <w:p w:rsidR="00111760" w:rsidRDefault="00111760" w:rsidP="00B80FF6">
      <w:pPr>
        <w:rPr>
          <w:lang w:val="el-GR"/>
        </w:rPr>
      </w:pPr>
    </w:p>
    <w:p w:rsidR="00111760" w:rsidRDefault="00111760" w:rsidP="00B80FF6">
      <w:pPr>
        <w:rPr>
          <w:lang w:val="el-GR"/>
        </w:rPr>
      </w:pPr>
    </w:p>
    <w:p w:rsidR="00111760" w:rsidRDefault="00111760" w:rsidP="00B80FF6">
      <w:pPr>
        <w:rPr>
          <w:lang w:val="el-GR"/>
        </w:rPr>
      </w:pPr>
    </w:p>
    <w:p w:rsidR="00111760" w:rsidRPr="00A705F3" w:rsidRDefault="00111760" w:rsidP="00B80FF6">
      <w:pPr>
        <w:rPr>
          <w:b/>
          <w:bCs/>
          <w:lang w:val="el-GR"/>
        </w:rPr>
      </w:pPr>
      <w:r w:rsidRPr="00A705F3">
        <w:rPr>
          <w:b/>
          <w:bCs/>
          <w:lang w:val="el-GR"/>
        </w:rPr>
        <w:t xml:space="preserve">Νομός </w:t>
      </w:r>
      <w:r>
        <w:rPr>
          <w:b/>
          <w:bCs/>
          <w:lang w:val="el-GR"/>
        </w:rPr>
        <w:t xml:space="preserve">Χαλκιδικής </w:t>
      </w:r>
    </w:p>
    <w:p w:rsidR="00111760" w:rsidRDefault="00111760" w:rsidP="00B80FF6">
      <w:pPr>
        <w:rPr>
          <w:b/>
          <w:bCs/>
          <w:lang w:val="el-GR"/>
        </w:rPr>
      </w:pPr>
    </w:p>
    <w:p w:rsidR="00111760" w:rsidRPr="00A705F3" w:rsidRDefault="00111760" w:rsidP="00B80FF6">
      <w:pPr>
        <w:rPr>
          <w:b/>
          <w:bCs/>
          <w:lang w:val="el-GR"/>
        </w:rPr>
      </w:pPr>
    </w:p>
    <w:p w:rsidR="00111760" w:rsidRDefault="00111760" w:rsidP="00B80FF6">
      <w:pPr>
        <w:rPr>
          <w:lang w:val="el-GR"/>
        </w:rPr>
      </w:pPr>
      <w:r w:rsidRPr="008636E7">
        <w:rPr>
          <w:lang w:val="el-GR"/>
        </w:rPr>
        <w:t xml:space="preserve">Οι κυριότεροι εξαγώγιμοι κλάδοι </w:t>
      </w:r>
      <w:r>
        <w:rPr>
          <w:lang w:val="el-GR"/>
        </w:rPr>
        <w:t>του νομού Χαλκιδικής  κατά το 2013 ήταν:</w:t>
      </w:r>
    </w:p>
    <w:p w:rsidR="00111760" w:rsidRDefault="00111760" w:rsidP="00B80FF6">
      <w:pPr>
        <w:rPr>
          <w:lang w:val="el-GR"/>
        </w:rPr>
      </w:pPr>
    </w:p>
    <w:p w:rsidR="00111760" w:rsidRDefault="00111760" w:rsidP="00B80FF6">
      <w:pPr>
        <w:rPr>
          <w:lang w:val="el-GR"/>
        </w:rPr>
      </w:pPr>
    </w:p>
    <w:p w:rsidR="00111760" w:rsidRPr="00B51721" w:rsidRDefault="00111760" w:rsidP="00B51721">
      <w:pPr>
        <w:rPr>
          <w:lang w:val="el-GR"/>
        </w:rPr>
      </w:pPr>
      <w:r w:rsidRPr="00B51721">
        <w:rPr>
          <w:lang w:val="el-GR"/>
        </w:rPr>
        <w:t>Παρασκευάσματα λαχανικών και φρούτων</w:t>
      </w:r>
    </w:p>
    <w:p w:rsidR="00111760" w:rsidRPr="00B51721" w:rsidRDefault="00111760" w:rsidP="00B51721">
      <w:pPr>
        <w:rPr>
          <w:lang w:val="el-GR"/>
        </w:rPr>
      </w:pPr>
      <w:r w:rsidRPr="00B51721">
        <w:rPr>
          <w:lang w:val="el-GR"/>
        </w:rPr>
        <w:t>Ορυκτά καύσιμα, λάδια και ασφαλτώδεις ύλες</w:t>
      </w:r>
    </w:p>
    <w:p w:rsidR="00111760" w:rsidRPr="00B51721" w:rsidRDefault="00111760" w:rsidP="00B51721">
      <w:pPr>
        <w:rPr>
          <w:lang w:val="el-GR"/>
        </w:rPr>
      </w:pPr>
      <w:r w:rsidRPr="00B51721">
        <w:rPr>
          <w:lang w:val="el-GR"/>
        </w:rPr>
        <w:t>Λαχανικά</w:t>
      </w:r>
    </w:p>
    <w:p w:rsidR="00111760" w:rsidRPr="00B51721" w:rsidRDefault="00111760" w:rsidP="00B51721">
      <w:pPr>
        <w:rPr>
          <w:lang w:val="el-GR"/>
        </w:rPr>
      </w:pPr>
      <w:r w:rsidRPr="00B51721">
        <w:rPr>
          <w:lang w:val="el-GR"/>
        </w:rPr>
        <w:t>Ποτά, αλκοολούχα  υγρά και ξύδι</w:t>
      </w:r>
    </w:p>
    <w:p w:rsidR="00111760" w:rsidRPr="00B51721" w:rsidRDefault="00111760" w:rsidP="00B51721">
      <w:pPr>
        <w:rPr>
          <w:lang w:val="el-GR"/>
        </w:rPr>
      </w:pPr>
      <w:r w:rsidRPr="00B51721">
        <w:rPr>
          <w:lang w:val="el-GR"/>
        </w:rPr>
        <w:t>Διάφορα προϊόντα των χημικών βιομηχανιών</w:t>
      </w:r>
    </w:p>
    <w:p w:rsidR="00111760" w:rsidRPr="00B51721" w:rsidRDefault="00111760" w:rsidP="00B51721">
      <w:pPr>
        <w:rPr>
          <w:lang w:val="el-GR"/>
        </w:rPr>
      </w:pPr>
      <w:r w:rsidRPr="00B51721">
        <w:rPr>
          <w:lang w:val="el-GR"/>
        </w:rPr>
        <w:t>Καρποί και φρούτα νωπά</w:t>
      </w:r>
    </w:p>
    <w:p w:rsidR="00111760" w:rsidRPr="00B51721" w:rsidRDefault="00111760" w:rsidP="00B51721">
      <w:pPr>
        <w:rPr>
          <w:lang w:val="el-GR"/>
        </w:rPr>
      </w:pPr>
      <w:r w:rsidRPr="00B51721">
        <w:rPr>
          <w:lang w:val="el-GR"/>
        </w:rPr>
        <w:t xml:space="preserve">Αλάτι. Θείο. Γύψος, ασβέστης και τσιμέντα </w:t>
      </w:r>
    </w:p>
    <w:p w:rsidR="00111760" w:rsidRPr="00B51721" w:rsidRDefault="00111760" w:rsidP="00B51721">
      <w:pPr>
        <w:rPr>
          <w:lang w:val="el-GR"/>
        </w:rPr>
      </w:pPr>
      <w:r w:rsidRPr="00B51721">
        <w:rPr>
          <w:lang w:val="el-GR"/>
        </w:rPr>
        <w:t>Προϊόντα αλευροποιίας</w:t>
      </w:r>
    </w:p>
    <w:p w:rsidR="00111760" w:rsidRPr="00B51721" w:rsidRDefault="00111760" w:rsidP="00B51721">
      <w:pPr>
        <w:rPr>
          <w:lang w:val="el-GR"/>
        </w:rPr>
      </w:pPr>
      <w:r w:rsidRPr="00B51721">
        <w:rPr>
          <w:lang w:val="el-GR"/>
        </w:rPr>
        <w:t>Γαλακτοκομικά</w:t>
      </w:r>
    </w:p>
    <w:p w:rsidR="00111760" w:rsidRDefault="00111760" w:rsidP="00B51721">
      <w:pPr>
        <w:rPr>
          <w:lang w:val="el-GR"/>
        </w:rPr>
      </w:pPr>
      <w:r w:rsidRPr="00B51721">
        <w:rPr>
          <w:lang w:val="el-GR"/>
        </w:rPr>
        <w:t>Δημητριακά</w:t>
      </w:r>
    </w:p>
    <w:p w:rsidR="00111760" w:rsidRPr="00B51721" w:rsidRDefault="00111760" w:rsidP="00B51721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42572D">
      <w:pPr>
        <w:jc w:val="both"/>
        <w:rPr>
          <w:lang w:val="el-GR"/>
        </w:rPr>
      </w:pPr>
      <w:r>
        <w:rPr>
          <w:lang w:val="el-GR"/>
        </w:rPr>
        <w:t>Οι κυριότερες χώρες προορισμού των προϊόντων του νομού Χαλκιδικής κατά το 2013 ήταν:</w:t>
      </w: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Pr="00722814" w:rsidRDefault="00111760" w:rsidP="00722814">
      <w:pPr>
        <w:rPr>
          <w:lang w:val="el-GR"/>
        </w:rPr>
      </w:pPr>
      <w:r w:rsidRPr="00722814">
        <w:rPr>
          <w:lang w:val="el-GR"/>
        </w:rPr>
        <w:t>ΓΕΡΜΑΝΙΑ</w:t>
      </w:r>
    </w:p>
    <w:p w:rsidR="00111760" w:rsidRPr="00722814" w:rsidRDefault="00111760" w:rsidP="00722814">
      <w:pPr>
        <w:rPr>
          <w:lang w:val="el-GR"/>
        </w:rPr>
      </w:pPr>
      <w:r w:rsidRPr="00722814">
        <w:rPr>
          <w:lang w:val="el-GR"/>
        </w:rPr>
        <w:t>ΒΟΥΛΓΑΡΙΑ</w:t>
      </w:r>
    </w:p>
    <w:p w:rsidR="00111760" w:rsidRPr="00722814" w:rsidRDefault="00111760" w:rsidP="00722814">
      <w:pPr>
        <w:rPr>
          <w:lang w:val="el-GR"/>
        </w:rPr>
      </w:pPr>
      <w:r w:rsidRPr="00722814">
        <w:rPr>
          <w:lang w:val="el-GR"/>
        </w:rPr>
        <w:t>ΙΤΑΛΙΑ</w:t>
      </w:r>
    </w:p>
    <w:p w:rsidR="00111760" w:rsidRPr="00722814" w:rsidRDefault="00111760" w:rsidP="00722814">
      <w:pPr>
        <w:rPr>
          <w:lang w:val="el-GR"/>
        </w:rPr>
      </w:pPr>
      <w:r w:rsidRPr="00722814">
        <w:rPr>
          <w:lang w:val="el-GR"/>
        </w:rPr>
        <w:t>Η Π Α</w:t>
      </w:r>
    </w:p>
    <w:p w:rsidR="00111760" w:rsidRPr="00722814" w:rsidRDefault="00111760" w:rsidP="00722814">
      <w:pPr>
        <w:rPr>
          <w:lang w:val="el-GR"/>
        </w:rPr>
      </w:pPr>
      <w:r w:rsidRPr="00722814">
        <w:rPr>
          <w:lang w:val="el-GR"/>
        </w:rPr>
        <w:t>ΗΝΩΜΕΝΟ ΒΑΣΙΛΕΙΟ</w:t>
      </w:r>
    </w:p>
    <w:p w:rsidR="00111760" w:rsidRPr="00722814" w:rsidRDefault="00111760" w:rsidP="00722814">
      <w:pPr>
        <w:rPr>
          <w:lang w:val="el-GR"/>
        </w:rPr>
      </w:pPr>
      <w:r w:rsidRPr="00722814">
        <w:rPr>
          <w:lang w:val="el-GR"/>
        </w:rPr>
        <w:t>ΡΟΥΜΑΝΙΑ</w:t>
      </w:r>
    </w:p>
    <w:p w:rsidR="00111760" w:rsidRPr="00722814" w:rsidRDefault="00111760" w:rsidP="00722814">
      <w:pPr>
        <w:rPr>
          <w:lang w:val="el-GR"/>
        </w:rPr>
      </w:pPr>
      <w:r w:rsidRPr="00722814">
        <w:rPr>
          <w:lang w:val="el-GR"/>
        </w:rPr>
        <w:t>ΒΕΛΓΙΟ</w:t>
      </w:r>
    </w:p>
    <w:p w:rsidR="00111760" w:rsidRPr="00722814" w:rsidRDefault="00111760" w:rsidP="00722814">
      <w:pPr>
        <w:rPr>
          <w:lang w:val="el-GR"/>
        </w:rPr>
      </w:pPr>
      <w:r w:rsidRPr="00722814">
        <w:rPr>
          <w:lang w:val="el-GR"/>
        </w:rPr>
        <w:t>ΠΟΛΩΝΙΑ</w:t>
      </w:r>
    </w:p>
    <w:p w:rsidR="00111760" w:rsidRPr="00722814" w:rsidRDefault="00111760" w:rsidP="00722814">
      <w:pPr>
        <w:rPr>
          <w:lang w:val="el-GR"/>
        </w:rPr>
      </w:pPr>
      <w:r w:rsidRPr="00722814">
        <w:rPr>
          <w:lang w:val="el-GR"/>
        </w:rPr>
        <w:t>ΟΥΚΡΑΝΙΑ</w:t>
      </w:r>
    </w:p>
    <w:p w:rsidR="00111760" w:rsidRPr="00722814" w:rsidRDefault="00111760" w:rsidP="00722814">
      <w:pPr>
        <w:rPr>
          <w:lang w:val="el-GR"/>
        </w:rPr>
      </w:pPr>
      <w:r w:rsidRPr="00722814">
        <w:rPr>
          <w:lang w:val="el-GR"/>
        </w:rPr>
        <w:t>ΚΑΝΑΔΑΣ</w:t>
      </w:r>
    </w:p>
    <w:p w:rsidR="00111760" w:rsidRPr="00722814" w:rsidRDefault="00111760" w:rsidP="00722814">
      <w:pPr>
        <w:rPr>
          <w:lang w:val="el-GR"/>
        </w:rPr>
      </w:pPr>
      <w:r w:rsidRPr="00722814">
        <w:rPr>
          <w:lang w:val="el-GR"/>
        </w:rPr>
        <w:t>ΚΥΠΡΟΣ</w:t>
      </w:r>
    </w:p>
    <w:p w:rsidR="00111760" w:rsidRPr="00722814" w:rsidRDefault="00111760" w:rsidP="00722814">
      <w:pPr>
        <w:rPr>
          <w:lang w:val="el-GR"/>
        </w:rPr>
      </w:pPr>
      <w:r w:rsidRPr="00722814">
        <w:rPr>
          <w:lang w:val="el-GR"/>
        </w:rPr>
        <w:t>ΤΟΥΡΚΙΑ</w:t>
      </w: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Default="00111760" w:rsidP="00A81455">
      <w:pPr>
        <w:rPr>
          <w:lang w:val="el-GR"/>
        </w:rPr>
      </w:pPr>
    </w:p>
    <w:p w:rsidR="00111760" w:rsidRPr="00A705F3" w:rsidRDefault="00111760" w:rsidP="00B51721">
      <w:pPr>
        <w:rPr>
          <w:b/>
          <w:bCs/>
          <w:lang w:val="el-GR"/>
        </w:rPr>
      </w:pPr>
      <w:r w:rsidRPr="00A705F3">
        <w:rPr>
          <w:b/>
          <w:bCs/>
          <w:lang w:val="el-GR"/>
        </w:rPr>
        <w:t xml:space="preserve">Νομός </w:t>
      </w:r>
      <w:r>
        <w:rPr>
          <w:b/>
          <w:bCs/>
          <w:lang w:val="el-GR"/>
        </w:rPr>
        <w:t>Σερρών</w:t>
      </w:r>
    </w:p>
    <w:p w:rsidR="00111760" w:rsidRDefault="00111760" w:rsidP="00B51721">
      <w:pPr>
        <w:rPr>
          <w:b/>
          <w:bCs/>
          <w:lang w:val="el-GR"/>
        </w:rPr>
      </w:pPr>
    </w:p>
    <w:p w:rsidR="00111760" w:rsidRPr="00A705F3" w:rsidRDefault="00111760" w:rsidP="00B51721">
      <w:pPr>
        <w:rPr>
          <w:b/>
          <w:bCs/>
          <w:lang w:val="el-GR"/>
        </w:rPr>
      </w:pPr>
    </w:p>
    <w:p w:rsidR="00111760" w:rsidRDefault="00111760" w:rsidP="00B51721">
      <w:pPr>
        <w:rPr>
          <w:lang w:val="el-GR"/>
        </w:rPr>
      </w:pPr>
      <w:r w:rsidRPr="008636E7">
        <w:rPr>
          <w:lang w:val="el-GR"/>
        </w:rPr>
        <w:t xml:space="preserve">Οι κυριότεροι εξαγώγιμοι κλάδοι </w:t>
      </w:r>
      <w:r>
        <w:rPr>
          <w:lang w:val="el-GR"/>
        </w:rPr>
        <w:t>του νομού Σερρών κατά το 2013 ήταν:</w:t>
      </w: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Pr="007F5BEF" w:rsidRDefault="00111760" w:rsidP="007F5BEF">
      <w:pPr>
        <w:rPr>
          <w:lang w:val="el-GR"/>
        </w:rPr>
      </w:pPr>
      <w:r w:rsidRPr="007F5BEF">
        <w:rPr>
          <w:lang w:val="el-GR"/>
        </w:rPr>
        <w:t>Βαμβάκι</w:t>
      </w:r>
    </w:p>
    <w:p w:rsidR="00111760" w:rsidRPr="007F5BEF" w:rsidRDefault="00111760" w:rsidP="007F5BEF">
      <w:pPr>
        <w:rPr>
          <w:lang w:val="el-GR"/>
        </w:rPr>
      </w:pPr>
      <w:r w:rsidRPr="007F5BEF">
        <w:rPr>
          <w:lang w:val="el-GR"/>
        </w:rPr>
        <w:t>Τεχνουργήματα από πέτρες, γύψο, τσιμέντο, αμίαντο, μάρμαρο</w:t>
      </w:r>
    </w:p>
    <w:p w:rsidR="00111760" w:rsidRPr="007F5BEF" w:rsidRDefault="00111760" w:rsidP="007F5BEF">
      <w:pPr>
        <w:rPr>
          <w:lang w:val="el-GR"/>
        </w:rPr>
      </w:pPr>
      <w:r w:rsidRPr="007F5BEF">
        <w:rPr>
          <w:lang w:val="el-GR"/>
        </w:rPr>
        <w:t>Γαλακτοκομικά</w:t>
      </w:r>
    </w:p>
    <w:p w:rsidR="00111760" w:rsidRPr="007F5BEF" w:rsidRDefault="00111760" w:rsidP="007F5BEF">
      <w:pPr>
        <w:rPr>
          <w:lang w:val="el-GR"/>
        </w:rPr>
      </w:pPr>
      <w:r w:rsidRPr="007F5BEF">
        <w:rPr>
          <w:lang w:val="el-GR"/>
        </w:rPr>
        <w:t>Παρασκευάσματα λαχανικών και φρούτων</w:t>
      </w:r>
    </w:p>
    <w:p w:rsidR="00111760" w:rsidRPr="007F5BEF" w:rsidRDefault="00111760" w:rsidP="007F5BEF">
      <w:pPr>
        <w:rPr>
          <w:lang w:val="el-GR"/>
        </w:rPr>
      </w:pPr>
      <w:r w:rsidRPr="007F5BEF">
        <w:rPr>
          <w:lang w:val="el-GR"/>
        </w:rPr>
        <w:t>Διάφορα παρασκευάσματα διατροφής</w:t>
      </w:r>
    </w:p>
    <w:p w:rsidR="00111760" w:rsidRPr="007F5BEF" w:rsidRDefault="00111760" w:rsidP="007F5BEF">
      <w:pPr>
        <w:rPr>
          <w:lang w:val="el-GR"/>
        </w:rPr>
      </w:pPr>
      <w:r w:rsidRPr="007F5BEF">
        <w:rPr>
          <w:lang w:val="el-GR"/>
        </w:rPr>
        <w:t>Λέβητες, μηχανές, συσκευές και μηχανικές επινοήσεις και μέρη</w:t>
      </w:r>
    </w:p>
    <w:p w:rsidR="00111760" w:rsidRPr="007F5BEF" w:rsidRDefault="00111760" w:rsidP="007F5BEF">
      <w:pPr>
        <w:rPr>
          <w:lang w:val="el-GR"/>
        </w:rPr>
      </w:pPr>
      <w:r w:rsidRPr="007F5BEF">
        <w:rPr>
          <w:lang w:val="el-GR"/>
        </w:rPr>
        <w:t>Δημητριακά</w:t>
      </w:r>
    </w:p>
    <w:p w:rsidR="00111760" w:rsidRPr="007F5BEF" w:rsidRDefault="00111760" w:rsidP="007F5BEF">
      <w:pPr>
        <w:rPr>
          <w:lang w:val="el-GR"/>
        </w:rPr>
      </w:pPr>
      <w:r w:rsidRPr="007F5BEF">
        <w:rPr>
          <w:lang w:val="el-GR"/>
        </w:rPr>
        <w:t>Επιπλα. Συσκευές φωτισμού, φωτεινές πινακίδες. Προκατασκευές</w:t>
      </w:r>
    </w:p>
    <w:p w:rsidR="00111760" w:rsidRPr="007F5BEF" w:rsidRDefault="00111760" w:rsidP="007F5BEF">
      <w:pPr>
        <w:rPr>
          <w:lang w:val="el-GR"/>
        </w:rPr>
      </w:pPr>
      <w:r w:rsidRPr="007F5BEF">
        <w:rPr>
          <w:lang w:val="el-GR"/>
        </w:rPr>
        <w:t>Πλαστικές ύλες</w:t>
      </w:r>
    </w:p>
    <w:p w:rsidR="00111760" w:rsidRPr="007F5BEF" w:rsidRDefault="00111760" w:rsidP="007F5BEF">
      <w:pPr>
        <w:rPr>
          <w:lang w:val="el-GR"/>
        </w:rPr>
      </w:pPr>
      <w:r w:rsidRPr="007F5BEF">
        <w:rPr>
          <w:lang w:val="el-GR"/>
        </w:rPr>
        <w:t>Σπέρματα, σπόροι και διάφοροι καρποί</w:t>
      </w:r>
    </w:p>
    <w:p w:rsidR="00111760" w:rsidRPr="007F5BEF" w:rsidRDefault="00111760" w:rsidP="007F5BEF">
      <w:pPr>
        <w:rPr>
          <w:lang w:val="el-GR"/>
        </w:rPr>
      </w:pPr>
      <w:r w:rsidRPr="007F5BEF">
        <w:rPr>
          <w:lang w:val="el-GR"/>
        </w:rPr>
        <w:t>Τεχνουργήματα από χυτοσίδηρο, σίδηρο ή χάλυβα</w:t>
      </w:r>
    </w:p>
    <w:p w:rsidR="00111760" w:rsidRPr="007F5BEF" w:rsidRDefault="00111760" w:rsidP="007F5BEF">
      <w:pPr>
        <w:rPr>
          <w:lang w:val="el-GR"/>
        </w:rPr>
      </w:pPr>
      <w:r w:rsidRPr="007F5BEF">
        <w:rPr>
          <w:lang w:val="el-GR"/>
        </w:rPr>
        <w:t>Κρέατα</w:t>
      </w: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42572D">
      <w:pPr>
        <w:jc w:val="both"/>
        <w:rPr>
          <w:lang w:val="el-GR"/>
        </w:rPr>
      </w:pPr>
      <w:r>
        <w:rPr>
          <w:lang w:val="el-GR"/>
        </w:rPr>
        <w:t>Οι κυριότερες χώρες προορισμού των προϊόντων του νομού Σερρών κατά το 2013 ήταν:</w:t>
      </w: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ΙΤΑΛΙΑ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ΒΟΥΛΓΑΡΙΑ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ΤΟΥΡΚΙΑ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ΓΕΡΜΑΝΙΑ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ΡΟΥΜΑΝΙΑ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ΣΕΡΒΙΑ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ΔΑΝΙΑ</w:t>
      </w:r>
    </w:p>
    <w:p w:rsidR="00111760" w:rsidRPr="003A549B" w:rsidRDefault="00111760" w:rsidP="003D3E87">
      <w:pPr>
        <w:rPr>
          <w:lang w:val="el-GR"/>
        </w:rPr>
      </w:pPr>
      <w:r>
        <w:rPr>
          <w:lang w:val="el-GR"/>
        </w:rPr>
        <w:t>Π.Γ.Δ.Μ.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ΚΥΠΡΟΣ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ΚΑΤΩ ΧΩΡΕΣ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ΔΗΜΟΚΡΑΤΙΑ ΤΗΣ ΤΣΕΧΙΑΣ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ΑΛΒΑΝΙΑ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ΙΑΠΩΝΙΑ</w:t>
      </w: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Pr="00A705F3" w:rsidRDefault="00111760" w:rsidP="00C7737D">
      <w:pPr>
        <w:rPr>
          <w:b/>
          <w:bCs/>
          <w:lang w:val="el-GR"/>
        </w:rPr>
      </w:pPr>
      <w:r w:rsidRPr="00A705F3">
        <w:rPr>
          <w:b/>
          <w:bCs/>
          <w:lang w:val="el-GR"/>
        </w:rPr>
        <w:t xml:space="preserve">Νομός </w:t>
      </w:r>
      <w:r>
        <w:rPr>
          <w:b/>
          <w:bCs/>
          <w:lang w:val="el-GR"/>
        </w:rPr>
        <w:t xml:space="preserve">Πιερίας </w:t>
      </w:r>
    </w:p>
    <w:p w:rsidR="00111760" w:rsidRDefault="00111760" w:rsidP="00C7737D">
      <w:pPr>
        <w:rPr>
          <w:b/>
          <w:bCs/>
          <w:lang w:val="el-GR"/>
        </w:rPr>
      </w:pPr>
    </w:p>
    <w:p w:rsidR="00111760" w:rsidRPr="00A705F3" w:rsidRDefault="00111760" w:rsidP="00C7737D">
      <w:pPr>
        <w:rPr>
          <w:b/>
          <w:bCs/>
          <w:lang w:val="el-GR"/>
        </w:rPr>
      </w:pPr>
    </w:p>
    <w:p w:rsidR="00111760" w:rsidRDefault="00111760" w:rsidP="00C7737D">
      <w:pPr>
        <w:rPr>
          <w:lang w:val="el-GR"/>
        </w:rPr>
      </w:pPr>
      <w:r w:rsidRPr="008636E7">
        <w:rPr>
          <w:lang w:val="el-GR"/>
        </w:rPr>
        <w:t xml:space="preserve">Οι κυριότεροι εξαγώγιμοι κλάδοι </w:t>
      </w:r>
      <w:r>
        <w:rPr>
          <w:lang w:val="el-GR"/>
        </w:rPr>
        <w:t>του νομού Πιερίας κατά το 2013 ήταν:</w:t>
      </w:r>
    </w:p>
    <w:p w:rsidR="00111760" w:rsidRDefault="00111760" w:rsidP="00C7737D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Pr="00C7737D" w:rsidRDefault="00111760" w:rsidP="00C7737D">
      <w:pPr>
        <w:rPr>
          <w:lang w:val="el-GR"/>
        </w:rPr>
      </w:pPr>
      <w:r w:rsidRPr="00C7737D">
        <w:rPr>
          <w:lang w:val="el-GR"/>
        </w:rPr>
        <w:t>Παρασκευάσματα λαχανικών και φρούτων</w:t>
      </w:r>
    </w:p>
    <w:p w:rsidR="00111760" w:rsidRPr="00C7737D" w:rsidRDefault="00111760" w:rsidP="00C7737D">
      <w:pPr>
        <w:rPr>
          <w:lang w:val="el-GR"/>
        </w:rPr>
      </w:pPr>
      <w:r w:rsidRPr="00C7737D">
        <w:rPr>
          <w:lang w:val="el-GR"/>
        </w:rPr>
        <w:t>Καπνά και υποκατάστατα καπνού</w:t>
      </w:r>
    </w:p>
    <w:p w:rsidR="00111760" w:rsidRPr="00C7737D" w:rsidRDefault="00111760" w:rsidP="00C7737D">
      <w:pPr>
        <w:rPr>
          <w:lang w:val="el-GR"/>
        </w:rPr>
      </w:pPr>
      <w:r w:rsidRPr="00C7737D">
        <w:rPr>
          <w:lang w:val="el-GR"/>
        </w:rPr>
        <w:t>Καρποί και φρούτα νωπά</w:t>
      </w:r>
    </w:p>
    <w:p w:rsidR="00111760" w:rsidRPr="00C7737D" w:rsidRDefault="00111760" w:rsidP="00C7737D">
      <w:pPr>
        <w:rPr>
          <w:lang w:val="el-GR"/>
        </w:rPr>
      </w:pPr>
      <w:r w:rsidRPr="00C7737D">
        <w:rPr>
          <w:lang w:val="el-GR"/>
        </w:rPr>
        <w:t>Επιπλα. Συσκευές φωτισμού, φωτεινές πινακίδες. Προκατασκευές</w:t>
      </w:r>
    </w:p>
    <w:p w:rsidR="00111760" w:rsidRPr="00C7737D" w:rsidRDefault="00111760" w:rsidP="00C7737D">
      <w:pPr>
        <w:rPr>
          <w:lang w:val="el-GR"/>
        </w:rPr>
      </w:pPr>
      <w:r w:rsidRPr="00C7737D">
        <w:rPr>
          <w:lang w:val="el-GR"/>
        </w:rPr>
        <w:t>Διάφορα παρασκευάσματα διατροφής</w:t>
      </w:r>
    </w:p>
    <w:p w:rsidR="00111760" w:rsidRPr="00C7737D" w:rsidRDefault="00111760" w:rsidP="00C7737D">
      <w:pPr>
        <w:rPr>
          <w:lang w:val="el-GR"/>
        </w:rPr>
      </w:pPr>
      <w:r w:rsidRPr="00C7737D">
        <w:rPr>
          <w:lang w:val="el-GR"/>
        </w:rPr>
        <w:t>Λέβητες, μηχανές, συσκευές και μηχανικές επινοήσεις και μέρη</w:t>
      </w:r>
    </w:p>
    <w:p w:rsidR="00111760" w:rsidRPr="00C7737D" w:rsidRDefault="00111760" w:rsidP="00C7737D">
      <w:pPr>
        <w:rPr>
          <w:lang w:val="el-GR"/>
        </w:rPr>
      </w:pPr>
      <w:r w:rsidRPr="00C7737D">
        <w:rPr>
          <w:lang w:val="el-GR"/>
        </w:rPr>
        <w:t>Μηχανές, συσκευές και υλικά ηλεκτρικά και τα μέρη τους</w:t>
      </w:r>
    </w:p>
    <w:p w:rsidR="00111760" w:rsidRPr="00C7737D" w:rsidRDefault="00111760" w:rsidP="00C7737D">
      <w:pPr>
        <w:rPr>
          <w:lang w:val="el-GR"/>
        </w:rPr>
      </w:pPr>
      <w:r w:rsidRPr="00C7737D">
        <w:rPr>
          <w:lang w:val="el-GR"/>
        </w:rPr>
        <w:t>Ψάρια και μαλακόστρακα, μαλάκια</w:t>
      </w:r>
    </w:p>
    <w:p w:rsidR="00111760" w:rsidRPr="00C7737D" w:rsidRDefault="00111760" w:rsidP="00C7737D">
      <w:pPr>
        <w:rPr>
          <w:lang w:val="el-GR"/>
        </w:rPr>
      </w:pPr>
      <w:r w:rsidRPr="00C7737D">
        <w:rPr>
          <w:lang w:val="el-GR"/>
        </w:rPr>
        <w:t>Πλαστικές ύλες</w:t>
      </w:r>
    </w:p>
    <w:p w:rsidR="00111760" w:rsidRPr="00C7737D" w:rsidRDefault="00111760" w:rsidP="00C7737D">
      <w:pPr>
        <w:rPr>
          <w:lang w:val="el-GR"/>
        </w:rPr>
      </w:pPr>
      <w:r w:rsidRPr="00C7737D">
        <w:rPr>
          <w:lang w:val="el-GR"/>
        </w:rPr>
        <w:t>Χαρτί και χαρτόνια</w:t>
      </w:r>
    </w:p>
    <w:p w:rsidR="00111760" w:rsidRPr="00C7737D" w:rsidRDefault="00111760" w:rsidP="00C7737D">
      <w:pPr>
        <w:rPr>
          <w:lang w:val="el-GR"/>
        </w:rPr>
      </w:pPr>
      <w:r w:rsidRPr="00C7737D">
        <w:rPr>
          <w:lang w:val="el-GR"/>
        </w:rPr>
        <w:t>Αργίλιο και τεχνουργήματα από αργίλιο</w:t>
      </w:r>
    </w:p>
    <w:p w:rsidR="00111760" w:rsidRPr="00C7737D" w:rsidRDefault="00111760" w:rsidP="00C7737D">
      <w:pPr>
        <w:rPr>
          <w:lang w:val="el-GR"/>
        </w:rPr>
      </w:pPr>
      <w:r w:rsidRPr="00C7737D">
        <w:rPr>
          <w:lang w:val="el-GR"/>
        </w:rPr>
        <w:t>Δημητριακά</w:t>
      </w: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42572D">
      <w:pPr>
        <w:jc w:val="both"/>
        <w:rPr>
          <w:lang w:val="el-GR"/>
        </w:rPr>
      </w:pPr>
      <w:r>
        <w:rPr>
          <w:lang w:val="el-GR"/>
        </w:rPr>
        <w:t>Οι κυριότερες χώρες προορισμού των προϊόντων του νομού Πιερίας κατά το 2013 ήταν:</w:t>
      </w:r>
    </w:p>
    <w:p w:rsidR="00111760" w:rsidRDefault="00111760" w:rsidP="0042572D">
      <w:pPr>
        <w:rPr>
          <w:lang w:val="el-GR"/>
        </w:rPr>
      </w:pPr>
    </w:p>
    <w:p w:rsidR="00111760" w:rsidRDefault="00111760" w:rsidP="0042572D">
      <w:pPr>
        <w:rPr>
          <w:lang w:val="el-GR"/>
        </w:rPr>
      </w:pP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ΒΟΥΛΓΑΡΙΑ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ΓΕΡΜΑΝΙΑ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ΣΟΥΗΔΙΑ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Η Π Α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ΙΤΑΛΙΑ</w:t>
      </w:r>
    </w:p>
    <w:p w:rsidR="00111760" w:rsidRPr="003A549B" w:rsidRDefault="00111760" w:rsidP="003D3E87">
      <w:pPr>
        <w:rPr>
          <w:lang w:val="el-GR"/>
        </w:rPr>
      </w:pPr>
      <w:r>
        <w:rPr>
          <w:lang w:val="el-GR"/>
        </w:rPr>
        <w:t>Π.Γ.Δ.Μ.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ΣΕΡΒΙΑ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ΝΟΡΒΗΓΙΑ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ΗΝΩΜΕΝΟ ΒΑΣΙΛΕΙΟ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ΑΥΣΤΡΑΛΙΑ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ΡΟΥΜΑΝΙΑ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ΚΑΤΩ ΧΩΡΕΣ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ΚΥΠΡΟΣ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ΑΙΓΥΠΤΟΣ</w:t>
      </w:r>
    </w:p>
    <w:p w:rsidR="00111760" w:rsidRPr="0042572D" w:rsidRDefault="00111760" w:rsidP="0042572D">
      <w:pPr>
        <w:rPr>
          <w:lang w:val="el-GR"/>
        </w:rPr>
      </w:pPr>
      <w:r w:rsidRPr="0042572D">
        <w:rPr>
          <w:lang w:val="el-GR"/>
        </w:rPr>
        <w:t>ΓΑΛΛΙΑ</w:t>
      </w:r>
    </w:p>
    <w:p w:rsidR="00111760" w:rsidRDefault="00111760" w:rsidP="0042572D">
      <w:pPr>
        <w:rPr>
          <w:lang w:val="el-GR"/>
        </w:rPr>
      </w:pPr>
      <w:r w:rsidRPr="0042572D">
        <w:rPr>
          <w:lang w:val="el-GR"/>
        </w:rPr>
        <w:t>ΡΩΣΙΑ</w:t>
      </w:r>
    </w:p>
    <w:p w:rsidR="00111760" w:rsidRDefault="00111760" w:rsidP="0042572D">
      <w:pPr>
        <w:rPr>
          <w:lang w:val="el-GR"/>
        </w:rPr>
      </w:pPr>
    </w:p>
    <w:p w:rsidR="00111760" w:rsidRDefault="00111760" w:rsidP="0042572D">
      <w:pPr>
        <w:rPr>
          <w:lang w:val="el-GR"/>
        </w:rPr>
      </w:pPr>
    </w:p>
    <w:p w:rsidR="00111760" w:rsidRDefault="00111760" w:rsidP="0042572D">
      <w:pPr>
        <w:rPr>
          <w:lang w:val="el-GR"/>
        </w:rPr>
      </w:pPr>
    </w:p>
    <w:p w:rsidR="00111760" w:rsidRDefault="00111760" w:rsidP="0042572D">
      <w:pPr>
        <w:rPr>
          <w:lang w:val="el-GR"/>
        </w:rPr>
      </w:pPr>
    </w:p>
    <w:p w:rsidR="00111760" w:rsidRDefault="00111760" w:rsidP="0042572D">
      <w:pPr>
        <w:rPr>
          <w:lang w:val="el-GR"/>
        </w:rPr>
      </w:pPr>
    </w:p>
    <w:p w:rsidR="00111760" w:rsidRPr="00A705F3" w:rsidRDefault="00111760" w:rsidP="004125BB">
      <w:pPr>
        <w:rPr>
          <w:b/>
          <w:bCs/>
          <w:lang w:val="el-GR"/>
        </w:rPr>
      </w:pPr>
      <w:r w:rsidRPr="00A705F3">
        <w:rPr>
          <w:b/>
          <w:bCs/>
          <w:lang w:val="el-GR"/>
        </w:rPr>
        <w:t xml:space="preserve">Νομός </w:t>
      </w:r>
      <w:r>
        <w:rPr>
          <w:b/>
          <w:bCs/>
          <w:lang w:val="el-GR"/>
        </w:rPr>
        <w:t xml:space="preserve">Πέλλας </w:t>
      </w:r>
    </w:p>
    <w:p w:rsidR="00111760" w:rsidRDefault="00111760" w:rsidP="004125BB">
      <w:pPr>
        <w:rPr>
          <w:b/>
          <w:bCs/>
          <w:lang w:val="el-GR"/>
        </w:rPr>
      </w:pPr>
    </w:p>
    <w:p w:rsidR="00111760" w:rsidRPr="00A705F3" w:rsidRDefault="00111760" w:rsidP="004125BB">
      <w:pPr>
        <w:rPr>
          <w:b/>
          <w:bCs/>
          <w:lang w:val="el-GR"/>
        </w:rPr>
      </w:pPr>
    </w:p>
    <w:p w:rsidR="00111760" w:rsidRDefault="00111760" w:rsidP="004125BB">
      <w:pPr>
        <w:rPr>
          <w:lang w:val="el-GR"/>
        </w:rPr>
      </w:pPr>
      <w:r w:rsidRPr="008636E7">
        <w:rPr>
          <w:lang w:val="el-GR"/>
        </w:rPr>
        <w:t xml:space="preserve">Οι κυριότεροι εξαγώγιμοι κλάδοι </w:t>
      </w:r>
      <w:r>
        <w:rPr>
          <w:lang w:val="el-GR"/>
        </w:rPr>
        <w:t>του νομού Πέλλας κατά το 2013 ήταν:</w:t>
      </w:r>
    </w:p>
    <w:p w:rsidR="00111760" w:rsidRDefault="00111760" w:rsidP="004125BB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Καρποί και φρούτα νωπά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Παρασκευάσματα λαχανικών και φρούτων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Παρασκευάσματα κρεάτων και ψαριών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Λαχανικά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Πλαστικές ύλες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Ορυκτά καύσιμα, λάδια και ασφαλτώδεις ύλες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Σπέρματα, σπόροι και διάφοροι καρποί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Δημητριακά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Γαλακτοκομικά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Διάφορα τεχνουργήματα από κοινά μέταλλα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Λέβητες, μηχανές, συσκευές και μηχανικές επινοήσεις και μέρη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Ψάρια και μαλακόστρακα, μαλάκια</w:t>
      </w: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CB0AAF">
      <w:pPr>
        <w:jc w:val="both"/>
        <w:rPr>
          <w:lang w:val="el-GR"/>
        </w:rPr>
      </w:pPr>
      <w:r>
        <w:rPr>
          <w:lang w:val="el-GR"/>
        </w:rPr>
        <w:t>Οι κυριότερες χώρες προορισμού των προϊόντων του νομού Πέλλας κατά το 2013 ήταν:</w:t>
      </w: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Pr="00CB0AAF" w:rsidRDefault="00111760" w:rsidP="00CB0AAF">
      <w:pPr>
        <w:rPr>
          <w:lang w:val="el-GR"/>
        </w:rPr>
      </w:pPr>
      <w:r w:rsidRPr="00CB0AAF">
        <w:rPr>
          <w:lang w:val="el-GR"/>
        </w:rPr>
        <w:t>ΓΕΡΜΑΝΙΑ</w:t>
      </w:r>
    </w:p>
    <w:p w:rsidR="00111760" w:rsidRPr="00CB0AAF" w:rsidRDefault="00111760" w:rsidP="00CB0AAF">
      <w:pPr>
        <w:rPr>
          <w:lang w:val="el-GR"/>
        </w:rPr>
      </w:pPr>
      <w:r w:rsidRPr="00CB0AAF">
        <w:rPr>
          <w:lang w:val="el-GR"/>
        </w:rPr>
        <w:t>ΡΩΣΙΑ</w:t>
      </w:r>
    </w:p>
    <w:p w:rsidR="00111760" w:rsidRPr="00CB0AAF" w:rsidRDefault="00111760" w:rsidP="00CB0AAF">
      <w:pPr>
        <w:rPr>
          <w:lang w:val="el-GR"/>
        </w:rPr>
      </w:pPr>
      <w:r w:rsidRPr="00CB0AAF">
        <w:rPr>
          <w:lang w:val="el-GR"/>
        </w:rPr>
        <w:t>ΡΟΥΜΑΝΙΑ</w:t>
      </w:r>
    </w:p>
    <w:p w:rsidR="00111760" w:rsidRPr="00CB0AAF" w:rsidRDefault="00111760" w:rsidP="00CB0AAF">
      <w:pPr>
        <w:rPr>
          <w:lang w:val="el-GR"/>
        </w:rPr>
      </w:pPr>
      <w:r w:rsidRPr="00CB0AAF">
        <w:rPr>
          <w:lang w:val="el-GR"/>
        </w:rPr>
        <w:t>ΓΑΛΛΙΑ</w:t>
      </w:r>
    </w:p>
    <w:p w:rsidR="00111760" w:rsidRPr="00CB0AAF" w:rsidRDefault="00111760" w:rsidP="00CB0AAF">
      <w:pPr>
        <w:rPr>
          <w:lang w:val="el-GR"/>
        </w:rPr>
      </w:pPr>
      <w:r w:rsidRPr="00CB0AAF">
        <w:rPr>
          <w:lang w:val="el-GR"/>
        </w:rPr>
        <w:t>ΠΟΛΩΝΙΑ</w:t>
      </w:r>
    </w:p>
    <w:p w:rsidR="00111760" w:rsidRPr="00CB0AAF" w:rsidRDefault="00111760" w:rsidP="00CB0AAF">
      <w:pPr>
        <w:rPr>
          <w:lang w:val="el-GR"/>
        </w:rPr>
      </w:pPr>
      <w:r w:rsidRPr="00CB0AAF">
        <w:rPr>
          <w:lang w:val="el-GR"/>
        </w:rPr>
        <w:t>Η Π Α</w:t>
      </w:r>
    </w:p>
    <w:p w:rsidR="00111760" w:rsidRPr="003A549B" w:rsidRDefault="00111760" w:rsidP="003D3E87">
      <w:pPr>
        <w:rPr>
          <w:lang w:val="el-GR"/>
        </w:rPr>
      </w:pPr>
      <w:r>
        <w:rPr>
          <w:lang w:val="el-GR"/>
        </w:rPr>
        <w:t>Π.Γ.Δ.Μ.</w:t>
      </w:r>
    </w:p>
    <w:p w:rsidR="00111760" w:rsidRPr="00CB0AAF" w:rsidRDefault="00111760" w:rsidP="00CB0AAF">
      <w:pPr>
        <w:rPr>
          <w:lang w:val="el-GR"/>
        </w:rPr>
      </w:pPr>
      <w:r w:rsidRPr="00CB0AAF">
        <w:rPr>
          <w:lang w:val="el-GR"/>
        </w:rPr>
        <w:t>ΙΤΑΛΙΑ</w:t>
      </w:r>
    </w:p>
    <w:p w:rsidR="00111760" w:rsidRPr="00CB0AAF" w:rsidRDefault="00111760" w:rsidP="00CB0AAF">
      <w:pPr>
        <w:rPr>
          <w:lang w:val="el-GR"/>
        </w:rPr>
      </w:pPr>
      <w:r w:rsidRPr="00CB0AAF">
        <w:rPr>
          <w:lang w:val="el-GR"/>
        </w:rPr>
        <w:t>ΚΑΤΩ ΧΩΡΕΣ</w:t>
      </w:r>
    </w:p>
    <w:p w:rsidR="00111760" w:rsidRPr="00CB0AAF" w:rsidRDefault="00111760" w:rsidP="00CB0AAF">
      <w:pPr>
        <w:rPr>
          <w:lang w:val="el-GR"/>
        </w:rPr>
      </w:pPr>
      <w:r w:rsidRPr="00CB0AAF">
        <w:rPr>
          <w:lang w:val="el-GR"/>
        </w:rPr>
        <w:t>ΒΟΥΛΓΑΡΙΑ</w:t>
      </w:r>
    </w:p>
    <w:p w:rsidR="00111760" w:rsidRPr="00CB0AAF" w:rsidRDefault="00111760" w:rsidP="00CB0AAF">
      <w:pPr>
        <w:rPr>
          <w:lang w:val="el-GR"/>
        </w:rPr>
      </w:pPr>
      <w:r w:rsidRPr="00CB0AAF">
        <w:rPr>
          <w:lang w:val="el-GR"/>
        </w:rPr>
        <w:t>ΤΑΙΛΑΝΔΗ</w:t>
      </w:r>
    </w:p>
    <w:p w:rsidR="00111760" w:rsidRPr="00CB0AAF" w:rsidRDefault="00111760" w:rsidP="00CB0AAF">
      <w:pPr>
        <w:rPr>
          <w:lang w:val="el-GR"/>
        </w:rPr>
      </w:pPr>
      <w:r w:rsidRPr="00CB0AAF">
        <w:rPr>
          <w:lang w:val="el-GR"/>
        </w:rPr>
        <w:t>ΣΕΡΒΙΑ</w:t>
      </w: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Pr="00A705F3" w:rsidRDefault="00111760" w:rsidP="004125BB">
      <w:pPr>
        <w:rPr>
          <w:b/>
          <w:bCs/>
          <w:lang w:val="el-GR"/>
        </w:rPr>
      </w:pPr>
      <w:r w:rsidRPr="00A705F3">
        <w:rPr>
          <w:b/>
          <w:bCs/>
          <w:lang w:val="el-GR"/>
        </w:rPr>
        <w:t xml:space="preserve">Νομός </w:t>
      </w:r>
      <w:r>
        <w:rPr>
          <w:b/>
          <w:bCs/>
          <w:lang w:val="el-GR"/>
        </w:rPr>
        <w:t>Κιλκίς</w:t>
      </w:r>
    </w:p>
    <w:p w:rsidR="00111760" w:rsidRDefault="00111760" w:rsidP="004125BB">
      <w:pPr>
        <w:rPr>
          <w:b/>
          <w:bCs/>
          <w:lang w:val="el-GR"/>
        </w:rPr>
      </w:pPr>
    </w:p>
    <w:p w:rsidR="00111760" w:rsidRPr="00A705F3" w:rsidRDefault="00111760" w:rsidP="004125BB">
      <w:pPr>
        <w:rPr>
          <w:b/>
          <w:bCs/>
          <w:lang w:val="el-GR"/>
        </w:rPr>
      </w:pPr>
    </w:p>
    <w:p w:rsidR="00111760" w:rsidRDefault="00111760" w:rsidP="004125BB">
      <w:pPr>
        <w:rPr>
          <w:lang w:val="el-GR"/>
        </w:rPr>
      </w:pPr>
      <w:r w:rsidRPr="008636E7">
        <w:rPr>
          <w:lang w:val="el-GR"/>
        </w:rPr>
        <w:t xml:space="preserve">Οι κυριότεροι εξαγώγιμοι κλάδοι </w:t>
      </w:r>
      <w:r>
        <w:rPr>
          <w:lang w:val="el-GR"/>
        </w:rPr>
        <w:t>του νομού Κιλκίς κατά το 2013 ήταν:</w:t>
      </w:r>
    </w:p>
    <w:p w:rsidR="00111760" w:rsidRDefault="00111760" w:rsidP="004125BB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Λέβητες, μηχανές, συσκευές και μηχανικές επινοήσεις και μέρη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Αργίλιο και τεχνουργήματα από αργίλιο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Πλαστικές ύλες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Παρασκευάσματα με βάση τα δημητριακά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Χαρτί και χαρτόνια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Υφάσματα πλεκτά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Ορυκτά καύσιμα, λάδια και ασφαλτώδεις ύλες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Βαμβάκι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Διάφορα τεχνουργήματα από κοινά μέταλλα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Γαλακτοκομικά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Χυτοσίδηρος, σίδηρος και χάλυβας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Ενδύματα και συμπληρώματα του ενδύματος, πλεκτά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Ενδύματα και συμπληρώματα του ενδύματος, σταθερά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Διάφορα παρασκευάσματα διατροφής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Παρασκευάσματα κρεάτων και ψαριών</w:t>
      </w:r>
    </w:p>
    <w:p w:rsidR="00111760" w:rsidRPr="004125BB" w:rsidRDefault="00111760" w:rsidP="004125BB">
      <w:pPr>
        <w:rPr>
          <w:lang w:val="el-GR"/>
        </w:rPr>
      </w:pPr>
      <w:r w:rsidRPr="004125BB">
        <w:rPr>
          <w:lang w:val="el-GR"/>
        </w:rPr>
        <w:t>Παρασκευάσματα λαχανικών και φρούτων</w:t>
      </w: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D86D7F">
      <w:pPr>
        <w:jc w:val="both"/>
        <w:rPr>
          <w:lang w:val="el-GR"/>
        </w:rPr>
      </w:pPr>
      <w:r>
        <w:rPr>
          <w:lang w:val="el-GR"/>
        </w:rPr>
        <w:t>Οι κυριότερες χώρες προορισμού των προϊόντων του νομού Κιλκίς κατά το 2013 ήταν:</w:t>
      </w: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Pr="00D86D7F" w:rsidRDefault="00111760" w:rsidP="00D86D7F">
      <w:pPr>
        <w:rPr>
          <w:lang w:val="el-GR"/>
        </w:rPr>
      </w:pPr>
      <w:r w:rsidRPr="00D86D7F">
        <w:rPr>
          <w:lang w:val="el-GR"/>
        </w:rPr>
        <w:t>ΓΕΡΜΑΝΙΑ</w:t>
      </w:r>
    </w:p>
    <w:p w:rsidR="00111760" w:rsidRPr="00D86D7F" w:rsidRDefault="00111760" w:rsidP="00D86D7F">
      <w:pPr>
        <w:rPr>
          <w:lang w:val="el-GR"/>
        </w:rPr>
      </w:pPr>
      <w:r w:rsidRPr="00D86D7F">
        <w:rPr>
          <w:lang w:val="el-GR"/>
        </w:rPr>
        <w:t>ΤΟΥΡΚΙΑ</w:t>
      </w:r>
    </w:p>
    <w:p w:rsidR="00111760" w:rsidRPr="00D86D7F" w:rsidRDefault="00111760" w:rsidP="00D86D7F">
      <w:pPr>
        <w:rPr>
          <w:lang w:val="el-GR"/>
        </w:rPr>
      </w:pPr>
      <w:r w:rsidRPr="00D86D7F">
        <w:rPr>
          <w:lang w:val="el-GR"/>
        </w:rPr>
        <w:t>ΡΟΥΜΑΝΙΑ</w:t>
      </w:r>
    </w:p>
    <w:p w:rsidR="00111760" w:rsidRPr="00D86D7F" w:rsidRDefault="00111760" w:rsidP="00D86D7F">
      <w:pPr>
        <w:rPr>
          <w:lang w:val="el-GR"/>
        </w:rPr>
      </w:pPr>
      <w:r w:rsidRPr="00D86D7F">
        <w:rPr>
          <w:lang w:val="el-GR"/>
        </w:rPr>
        <w:t>ΣΕΡΒΙΑ</w:t>
      </w:r>
    </w:p>
    <w:p w:rsidR="00111760" w:rsidRPr="003A549B" w:rsidRDefault="00111760" w:rsidP="003D3E87">
      <w:pPr>
        <w:rPr>
          <w:lang w:val="el-GR"/>
        </w:rPr>
      </w:pPr>
      <w:r>
        <w:rPr>
          <w:lang w:val="el-GR"/>
        </w:rPr>
        <w:t>Π.Γ.Δ.Μ.</w:t>
      </w:r>
    </w:p>
    <w:p w:rsidR="00111760" w:rsidRPr="00D86D7F" w:rsidRDefault="00111760" w:rsidP="00D86D7F">
      <w:pPr>
        <w:rPr>
          <w:lang w:val="el-GR"/>
        </w:rPr>
      </w:pPr>
      <w:r w:rsidRPr="00D86D7F">
        <w:rPr>
          <w:lang w:val="el-GR"/>
        </w:rPr>
        <w:t>ΓΑΛΛΙΑ</w:t>
      </w:r>
    </w:p>
    <w:p w:rsidR="00111760" w:rsidRPr="00D86D7F" w:rsidRDefault="00111760" w:rsidP="00D86D7F">
      <w:pPr>
        <w:rPr>
          <w:lang w:val="el-GR"/>
        </w:rPr>
      </w:pPr>
      <w:r w:rsidRPr="00D86D7F">
        <w:rPr>
          <w:lang w:val="el-GR"/>
        </w:rPr>
        <w:t>ΒΟΥΛΓΑΡΙΑ</w:t>
      </w:r>
    </w:p>
    <w:p w:rsidR="00111760" w:rsidRPr="00D86D7F" w:rsidRDefault="00111760" w:rsidP="00D86D7F">
      <w:pPr>
        <w:rPr>
          <w:lang w:val="el-GR"/>
        </w:rPr>
      </w:pPr>
      <w:r w:rsidRPr="00D86D7F">
        <w:rPr>
          <w:lang w:val="el-GR"/>
        </w:rPr>
        <w:t>ΡΩΣΙΑ</w:t>
      </w:r>
    </w:p>
    <w:p w:rsidR="00111760" w:rsidRPr="00D86D7F" w:rsidRDefault="00111760" w:rsidP="00D86D7F">
      <w:pPr>
        <w:rPr>
          <w:lang w:val="el-GR"/>
        </w:rPr>
      </w:pPr>
      <w:r w:rsidRPr="00D86D7F">
        <w:rPr>
          <w:lang w:val="el-GR"/>
        </w:rPr>
        <w:t>ΗΝΩΜΕΝΟ ΒΑΣΙΛΕΙΟ</w:t>
      </w:r>
    </w:p>
    <w:p w:rsidR="00111760" w:rsidRPr="00D86D7F" w:rsidRDefault="00111760" w:rsidP="00D86D7F">
      <w:pPr>
        <w:rPr>
          <w:lang w:val="el-GR"/>
        </w:rPr>
      </w:pPr>
      <w:r w:rsidRPr="00D86D7F">
        <w:rPr>
          <w:lang w:val="el-GR"/>
        </w:rPr>
        <w:t>ΑΛΒΑΝΙΑ</w:t>
      </w:r>
    </w:p>
    <w:p w:rsidR="00111760" w:rsidRDefault="00111760" w:rsidP="00D86D7F">
      <w:pPr>
        <w:rPr>
          <w:lang w:val="el-GR"/>
        </w:rPr>
      </w:pPr>
      <w:r w:rsidRPr="00D86D7F">
        <w:rPr>
          <w:lang w:val="el-GR"/>
        </w:rPr>
        <w:t>ΠΟΛΩΝΙΑ</w:t>
      </w:r>
    </w:p>
    <w:p w:rsidR="00111760" w:rsidRDefault="00111760" w:rsidP="00D86D7F">
      <w:pPr>
        <w:rPr>
          <w:lang w:val="el-GR"/>
        </w:rPr>
      </w:pPr>
    </w:p>
    <w:p w:rsidR="00111760" w:rsidRDefault="00111760" w:rsidP="00D86D7F">
      <w:pPr>
        <w:rPr>
          <w:lang w:val="el-GR"/>
        </w:rPr>
      </w:pPr>
    </w:p>
    <w:p w:rsidR="00111760" w:rsidRDefault="00111760" w:rsidP="00D86D7F">
      <w:pPr>
        <w:rPr>
          <w:lang w:val="el-GR"/>
        </w:rPr>
      </w:pPr>
    </w:p>
    <w:p w:rsidR="00111760" w:rsidRDefault="00111760" w:rsidP="00D86D7F">
      <w:pPr>
        <w:rPr>
          <w:lang w:val="el-GR"/>
        </w:rPr>
      </w:pPr>
    </w:p>
    <w:p w:rsidR="00111760" w:rsidRDefault="00111760" w:rsidP="00D86D7F">
      <w:pPr>
        <w:rPr>
          <w:lang w:val="el-GR"/>
        </w:rPr>
      </w:pPr>
    </w:p>
    <w:p w:rsidR="00111760" w:rsidRPr="00A705F3" w:rsidRDefault="00111760" w:rsidP="00880101">
      <w:pPr>
        <w:rPr>
          <w:b/>
          <w:bCs/>
          <w:lang w:val="el-GR"/>
        </w:rPr>
      </w:pPr>
      <w:r w:rsidRPr="00A705F3">
        <w:rPr>
          <w:b/>
          <w:bCs/>
          <w:lang w:val="el-GR"/>
        </w:rPr>
        <w:t xml:space="preserve">Νομός </w:t>
      </w:r>
      <w:r>
        <w:rPr>
          <w:b/>
          <w:bCs/>
          <w:lang w:val="el-GR"/>
        </w:rPr>
        <w:t xml:space="preserve">Θεσσαλονίκης </w:t>
      </w:r>
    </w:p>
    <w:p w:rsidR="00111760" w:rsidRDefault="00111760" w:rsidP="00880101">
      <w:pPr>
        <w:rPr>
          <w:b/>
          <w:bCs/>
          <w:lang w:val="el-GR"/>
        </w:rPr>
      </w:pPr>
    </w:p>
    <w:p w:rsidR="00111760" w:rsidRPr="00A705F3" w:rsidRDefault="00111760" w:rsidP="00880101">
      <w:pPr>
        <w:rPr>
          <w:b/>
          <w:bCs/>
          <w:lang w:val="el-GR"/>
        </w:rPr>
      </w:pPr>
    </w:p>
    <w:p w:rsidR="00111760" w:rsidRDefault="00111760" w:rsidP="00880101">
      <w:pPr>
        <w:rPr>
          <w:lang w:val="el-GR"/>
        </w:rPr>
      </w:pPr>
      <w:r w:rsidRPr="008636E7">
        <w:rPr>
          <w:lang w:val="el-GR"/>
        </w:rPr>
        <w:t xml:space="preserve">Οι κυριότεροι εξαγώγιμοι κλάδοι </w:t>
      </w:r>
      <w:r>
        <w:rPr>
          <w:lang w:val="el-GR"/>
        </w:rPr>
        <w:t>του νομού Θεσσαλονίκης κατά το 2013 ήταν:</w:t>
      </w:r>
    </w:p>
    <w:p w:rsidR="00111760" w:rsidRDefault="00111760" w:rsidP="0088010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Pr="00880101" w:rsidRDefault="00111760" w:rsidP="00880101">
      <w:pPr>
        <w:rPr>
          <w:lang w:val="el-GR"/>
        </w:rPr>
      </w:pPr>
      <w:r w:rsidRPr="00880101">
        <w:rPr>
          <w:lang w:val="el-GR"/>
        </w:rPr>
        <w:t>Ορυκτά καύσιμα, λάδια και ασφαλτώδεις ύλες</w:t>
      </w:r>
    </w:p>
    <w:p w:rsidR="00111760" w:rsidRPr="00880101" w:rsidRDefault="00111760" w:rsidP="00880101">
      <w:pPr>
        <w:rPr>
          <w:lang w:val="el-GR"/>
        </w:rPr>
      </w:pPr>
      <w:r w:rsidRPr="00880101">
        <w:rPr>
          <w:lang w:val="el-GR"/>
        </w:rPr>
        <w:t>Ενδύματα και συμπληρώματα του ενδύματος, πλεκτά</w:t>
      </w:r>
    </w:p>
    <w:p w:rsidR="00111760" w:rsidRPr="00880101" w:rsidRDefault="00111760" w:rsidP="00880101">
      <w:pPr>
        <w:rPr>
          <w:lang w:val="el-GR"/>
        </w:rPr>
      </w:pPr>
      <w:r w:rsidRPr="00880101">
        <w:rPr>
          <w:lang w:val="el-GR"/>
        </w:rPr>
        <w:t>Πλαστικές ύλες</w:t>
      </w:r>
    </w:p>
    <w:p w:rsidR="00111760" w:rsidRPr="00880101" w:rsidRDefault="00111760" w:rsidP="00880101">
      <w:pPr>
        <w:rPr>
          <w:lang w:val="el-GR"/>
        </w:rPr>
      </w:pPr>
      <w:r w:rsidRPr="00880101">
        <w:rPr>
          <w:lang w:val="el-GR"/>
        </w:rPr>
        <w:t>Βαμβάκι</w:t>
      </w:r>
    </w:p>
    <w:p w:rsidR="00111760" w:rsidRPr="00880101" w:rsidRDefault="00111760" w:rsidP="00880101">
      <w:pPr>
        <w:rPr>
          <w:lang w:val="el-GR"/>
        </w:rPr>
      </w:pPr>
      <w:r w:rsidRPr="00880101">
        <w:rPr>
          <w:lang w:val="el-GR"/>
        </w:rPr>
        <w:t>Φαρμακευτικά προϊόντα</w:t>
      </w:r>
    </w:p>
    <w:p w:rsidR="00111760" w:rsidRPr="00880101" w:rsidRDefault="00111760" w:rsidP="00880101">
      <w:pPr>
        <w:rPr>
          <w:lang w:val="el-GR"/>
        </w:rPr>
      </w:pPr>
      <w:r w:rsidRPr="00880101">
        <w:rPr>
          <w:lang w:val="el-GR"/>
        </w:rPr>
        <w:t>Λέβητες, μηχανές, συσκευές και μηχανικές επινοήσεις και μέρη</w:t>
      </w:r>
    </w:p>
    <w:p w:rsidR="00111760" w:rsidRPr="00880101" w:rsidRDefault="00111760" w:rsidP="00880101">
      <w:pPr>
        <w:rPr>
          <w:lang w:val="el-GR"/>
        </w:rPr>
      </w:pPr>
      <w:r w:rsidRPr="00880101">
        <w:rPr>
          <w:lang w:val="el-GR"/>
        </w:rPr>
        <w:t xml:space="preserve">Αλάτι. Θείο. Γύψος, ασβέστης και τσιμέντα </w:t>
      </w:r>
    </w:p>
    <w:p w:rsidR="00111760" w:rsidRPr="00880101" w:rsidRDefault="00111760" w:rsidP="00880101">
      <w:pPr>
        <w:rPr>
          <w:lang w:val="el-GR"/>
        </w:rPr>
      </w:pPr>
      <w:r w:rsidRPr="00880101">
        <w:rPr>
          <w:lang w:val="el-GR"/>
        </w:rPr>
        <w:t>Καπνά και υποκατάστατα καπνού</w:t>
      </w:r>
    </w:p>
    <w:p w:rsidR="00111760" w:rsidRPr="00880101" w:rsidRDefault="00111760" w:rsidP="00880101">
      <w:pPr>
        <w:rPr>
          <w:lang w:val="el-GR"/>
        </w:rPr>
      </w:pPr>
      <w:r w:rsidRPr="00880101">
        <w:rPr>
          <w:lang w:val="el-GR"/>
        </w:rPr>
        <w:t>Χυτοσίδηρος, σίδηρος και χάλυβας</w:t>
      </w:r>
    </w:p>
    <w:p w:rsidR="00111760" w:rsidRPr="00880101" w:rsidRDefault="00111760" w:rsidP="00880101">
      <w:pPr>
        <w:rPr>
          <w:lang w:val="el-GR"/>
        </w:rPr>
      </w:pPr>
      <w:r w:rsidRPr="00880101">
        <w:rPr>
          <w:lang w:val="el-GR"/>
        </w:rPr>
        <w:t>Γαλακτοκομικά</w:t>
      </w:r>
    </w:p>
    <w:p w:rsidR="00111760" w:rsidRDefault="00111760" w:rsidP="00880101">
      <w:pPr>
        <w:rPr>
          <w:lang w:val="el-GR"/>
        </w:rPr>
      </w:pPr>
      <w:r w:rsidRPr="00880101">
        <w:rPr>
          <w:lang w:val="el-GR"/>
        </w:rPr>
        <w:t>Παρασκευάσματα λαχανικών και φρούτων</w:t>
      </w:r>
    </w:p>
    <w:p w:rsidR="00111760" w:rsidRDefault="00111760" w:rsidP="00880101">
      <w:pPr>
        <w:rPr>
          <w:lang w:val="el-GR"/>
        </w:rPr>
      </w:pPr>
    </w:p>
    <w:p w:rsidR="00111760" w:rsidRDefault="00111760" w:rsidP="00880101">
      <w:pPr>
        <w:rPr>
          <w:lang w:val="el-GR"/>
        </w:rPr>
      </w:pPr>
    </w:p>
    <w:p w:rsidR="00111760" w:rsidRDefault="00111760" w:rsidP="00880101">
      <w:pPr>
        <w:rPr>
          <w:lang w:val="el-GR"/>
        </w:rPr>
      </w:pPr>
    </w:p>
    <w:p w:rsidR="00111760" w:rsidRPr="00880101" w:rsidRDefault="00111760" w:rsidP="00880101">
      <w:pPr>
        <w:rPr>
          <w:lang w:val="el-GR"/>
        </w:rPr>
      </w:pPr>
    </w:p>
    <w:p w:rsidR="00111760" w:rsidRDefault="00111760" w:rsidP="00BE2032">
      <w:pPr>
        <w:jc w:val="both"/>
        <w:rPr>
          <w:lang w:val="el-GR"/>
        </w:rPr>
      </w:pPr>
      <w:r>
        <w:rPr>
          <w:lang w:val="el-GR"/>
        </w:rPr>
        <w:t>Οι κυριότερες χώρες προορισμού των προϊόντων του νομού Θεσσαλονίκης  κατά το 2013 ήταν:</w:t>
      </w: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Pr="003A549B" w:rsidRDefault="00111760" w:rsidP="003D3E87">
      <w:pPr>
        <w:rPr>
          <w:lang w:val="el-GR"/>
        </w:rPr>
      </w:pPr>
      <w:r>
        <w:rPr>
          <w:lang w:val="el-GR"/>
        </w:rPr>
        <w:t>Π.Γ.Δ.Μ.</w:t>
      </w:r>
    </w:p>
    <w:p w:rsidR="00111760" w:rsidRPr="00BE2032" w:rsidRDefault="00111760" w:rsidP="00BE2032">
      <w:pPr>
        <w:rPr>
          <w:lang w:val="el-GR"/>
        </w:rPr>
      </w:pPr>
      <w:r w:rsidRPr="00BE2032">
        <w:rPr>
          <w:lang w:val="el-GR"/>
        </w:rPr>
        <w:t>ΒΟΥΛΓΑΡΙΑ</w:t>
      </w:r>
    </w:p>
    <w:p w:rsidR="00111760" w:rsidRPr="00BE2032" w:rsidRDefault="00111760" w:rsidP="00BE2032">
      <w:pPr>
        <w:rPr>
          <w:lang w:val="el-GR"/>
        </w:rPr>
      </w:pPr>
      <w:r w:rsidRPr="00BE2032">
        <w:rPr>
          <w:lang w:val="el-GR"/>
        </w:rPr>
        <w:t>ΓΕΡΜΑΝΙΑ</w:t>
      </w:r>
    </w:p>
    <w:p w:rsidR="00111760" w:rsidRPr="00BE2032" w:rsidRDefault="00111760" w:rsidP="00BE2032">
      <w:pPr>
        <w:rPr>
          <w:lang w:val="el-GR"/>
        </w:rPr>
      </w:pPr>
      <w:r w:rsidRPr="00BE2032">
        <w:rPr>
          <w:lang w:val="el-GR"/>
        </w:rPr>
        <w:t>ΤΟΥΡΚΙΑ</w:t>
      </w:r>
    </w:p>
    <w:p w:rsidR="00111760" w:rsidRPr="00BE2032" w:rsidRDefault="00111760" w:rsidP="00BE2032">
      <w:pPr>
        <w:rPr>
          <w:lang w:val="el-GR"/>
        </w:rPr>
      </w:pPr>
      <w:r w:rsidRPr="00BE2032">
        <w:rPr>
          <w:lang w:val="el-GR"/>
        </w:rPr>
        <w:t>ΚΙΝΑ</w:t>
      </w:r>
    </w:p>
    <w:p w:rsidR="00111760" w:rsidRPr="00BE2032" w:rsidRDefault="00111760" w:rsidP="00BE2032">
      <w:pPr>
        <w:rPr>
          <w:lang w:val="el-GR"/>
        </w:rPr>
      </w:pPr>
      <w:r w:rsidRPr="00BE2032">
        <w:rPr>
          <w:lang w:val="el-GR"/>
        </w:rPr>
        <w:t>ΙΤΑΛΙΑ</w:t>
      </w:r>
    </w:p>
    <w:p w:rsidR="00111760" w:rsidRPr="00BE2032" w:rsidRDefault="00111760" w:rsidP="00BE2032">
      <w:pPr>
        <w:rPr>
          <w:lang w:val="el-GR"/>
        </w:rPr>
      </w:pPr>
      <w:r w:rsidRPr="00BE2032">
        <w:rPr>
          <w:lang w:val="el-GR"/>
        </w:rPr>
        <w:t>ΗΝΩΜΕΝΟ ΒΑΣΙΛΕΙΟ</w:t>
      </w:r>
    </w:p>
    <w:p w:rsidR="00111760" w:rsidRPr="00BE2032" w:rsidRDefault="00111760" w:rsidP="00BE2032">
      <w:pPr>
        <w:rPr>
          <w:lang w:val="el-GR"/>
        </w:rPr>
      </w:pPr>
      <w:r w:rsidRPr="00BE2032">
        <w:rPr>
          <w:lang w:val="el-GR"/>
        </w:rPr>
        <w:t>ΚΥΠΡΟΣ</w:t>
      </w:r>
    </w:p>
    <w:p w:rsidR="00111760" w:rsidRPr="00BE2032" w:rsidRDefault="00111760" w:rsidP="00BE2032">
      <w:pPr>
        <w:rPr>
          <w:lang w:val="el-GR"/>
        </w:rPr>
      </w:pPr>
      <w:r w:rsidRPr="00BE2032">
        <w:rPr>
          <w:lang w:val="el-GR"/>
        </w:rPr>
        <w:t>ΡΟΥΜΑΝΙΑ</w:t>
      </w:r>
    </w:p>
    <w:p w:rsidR="00111760" w:rsidRPr="00BE2032" w:rsidRDefault="00111760" w:rsidP="00BE2032">
      <w:pPr>
        <w:rPr>
          <w:lang w:val="el-GR"/>
        </w:rPr>
      </w:pPr>
      <w:r w:rsidRPr="00BE2032">
        <w:rPr>
          <w:lang w:val="el-GR"/>
        </w:rPr>
        <w:t>ΑΙΓΥΠΤΟΣ</w:t>
      </w:r>
    </w:p>
    <w:p w:rsidR="00111760" w:rsidRPr="00BE2032" w:rsidRDefault="00111760" w:rsidP="00BE2032">
      <w:pPr>
        <w:rPr>
          <w:lang w:val="el-GR"/>
        </w:rPr>
      </w:pPr>
      <w:r w:rsidRPr="00BE2032">
        <w:rPr>
          <w:lang w:val="el-GR"/>
        </w:rPr>
        <w:t>ΒΕΛΓΙΟ</w:t>
      </w:r>
    </w:p>
    <w:p w:rsidR="00111760" w:rsidRPr="00BE2032" w:rsidRDefault="00111760" w:rsidP="00BE2032">
      <w:pPr>
        <w:rPr>
          <w:lang w:val="el-GR"/>
        </w:rPr>
      </w:pPr>
      <w:r w:rsidRPr="00BE2032">
        <w:rPr>
          <w:lang w:val="el-GR"/>
        </w:rPr>
        <w:t>ΣΕΡΒΙΑ</w:t>
      </w:r>
    </w:p>
    <w:p w:rsidR="00111760" w:rsidRPr="00BE2032" w:rsidRDefault="00111760" w:rsidP="00BE2032">
      <w:pPr>
        <w:rPr>
          <w:lang w:val="el-GR"/>
        </w:rPr>
      </w:pPr>
      <w:r w:rsidRPr="00BE2032">
        <w:rPr>
          <w:lang w:val="el-GR"/>
        </w:rPr>
        <w:t>ΚΟΣΟΒΟ</w:t>
      </w: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Default="00111760" w:rsidP="00B51721">
      <w:pPr>
        <w:rPr>
          <w:lang w:val="el-GR"/>
        </w:rPr>
      </w:pPr>
    </w:p>
    <w:p w:rsidR="00111760" w:rsidRPr="00A705F3" w:rsidRDefault="00111760" w:rsidP="00706D37">
      <w:pPr>
        <w:rPr>
          <w:b/>
          <w:bCs/>
          <w:lang w:val="el-GR"/>
        </w:rPr>
      </w:pPr>
      <w:r w:rsidRPr="00A705F3">
        <w:rPr>
          <w:b/>
          <w:bCs/>
          <w:lang w:val="el-GR"/>
        </w:rPr>
        <w:t xml:space="preserve">Νομός </w:t>
      </w:r>
      <w:r>
        <w:rPr>
          <w:b/>
          <w:bCs/>
          <w:lang w:val="el-GR"/>
        </w:rPr>
        <w:t>Ημαθίας</w:t>
      </w:r>
    </w:p>
    <w:p w:rsidR="00111760" w:rsidRDefault="00111760" w:rsidP="00706D37">
      <w:pPr>
        <w:rPr>
          <w:b/>
          <w:bCs/>
          <w:lang w:val="el-GR"/>
        </w:rPr>
      </w:pPr>
    </w:p>
    <w:p w:rsidR="00111760" w:rsidRPr="00A705F3" w:rsidRDefault="00111760" w:rsidP="00706D37">
      <w:pPr>
        <w:rPr>
          <w:b/>
          <w:bCs/>
          <w:lang w:val="el-GR"/>
        </w:rPr>
      </w:pPr>
    </w:p>
    <w:p w:rsidR="00111760" w:rsidRDefault="00111760" w:rsidP="00706D37">
      <w:pPr>
        <w:rPr>
          <w:lang w:val="el-GR"/>
        </w:rPr>
      </w:pPr>
      <w:r w:rsidRPr="008636E7">
        <w:rPr>
          <w:lang w:val="el-GR"/>
        </w:rPr>
        <w:t xml:space="preserve">Οι κυριότεροι εξαγώγιμοι κλάδοι </w:t>
      </w:r>
      <w:r>
        <w:rPr>
          <w:lang w:val="el-GR"/>
        </w:rPr>
        <w:t>του νομού Ημαθίας κατά το 2013 ήταν:</w:t>
      </w:r>
    </w:p>
    <w:p w:rsidR="00111760" w:rsidRDefault="00111760" w:rsidP="00706D37">
      <w:pPr>
        <w:rPr>
          <w:lang w:val="el-GR"/>
        </w:rPr>
      </w:pPr>
    </w:p>
    <w:p w:rsidR="00111760" w:rsidRDefault="00111760" w:rsidP="00706D37">
      <w:pPr>
        <w:rPr>
          <w:lang w:val="el-GR"/>
        </w:rPr>
      </w:pPr>
    </w:p>
    <w:p w:rsidR="00111760" w:rsidRPr="00706D37" w:rsidRDefault="00111760" w:rsidP="00706D37">
      <w:pPr>
        <w:rPr>
          <w:lang w:val="el-GR"/>
        </w:rPr>
      </w:pPr>
      <w:r w:rsidRPr="00706D37">
        <w:rPr>
          <w:lang w:val="el-GR"/>
        </w:rPr>
        <w:t>Καρποί και φρούτα νωπά</w:t>
      </w:r>
    </w:p>
    <w:p w:rsidR="00111760" w:rsidRPr="00706D37" w:rsidRDefault="00111760" w:rsidP="00706D37">
      <w:pPr>
        <w:rPr>
          <w:lang w:val="el-GR"/>
        </w:rPr>
      </w:pPr>
      <w:r w:rsidRPr="00706D37">
        <w:rPr>
          <w:lang w:val="el-GR"/>
        </w:rPr>
        <w:t>Παρασκευάσματα λαχανικών και φρούτων</w:t>
      </w:r>
    </w:p>
    <w:p w:rsidR="00111760" w:rsidRPr="00706D37" w:rsidRDefault="00111760" w:rsidP="00706D37">
      <w:pPr>
        <w:rPr>
          <w:lang w:val="el-GR"/>
        </w:rPr>
      </w:pPr>
      <w:r w:rsidRPr="00706D37">
        <w:rPr>
          <w:lang w:val="el-GR"/>
        </w:rPr>
        <w:t>Λαχανικά</w:t>
      </w:r>
    </w:p>
    <w:p w:rsidR="00111760" w:rsidRPr="00706D37" w:rsidRDefault="00111760" w:rsidP="00706D37">
      <w:pPr>
        <w:rPr>
          <w:lang w:val="el-GR"/>
        </w:rPr>
      </w:pPr>
      <w:r w:rsidRPr="00706D37">
        <w:rPr>
          <w:lang w:val="el-GR"/>
        </w:rPr>
        <w:t>Βαμβάκι</w:t>
      </w:r>
    </w:p>
    <w:p w:rsidR="00111760" w:rsidRPr="00706D37" w:rsidRDefault="00111760" w:rsidP="00706D37">
      <w:pPr>
        <w:rPr>
          <w:lang w:val="el-GR"/>
        </w:rPr>
      </w:pPr>
      <w:r w:rsidRPr="00706D37">
        <w:rPr>
          <w:lang w:val="el-GR"/>
        </w:rPr>
        <w:t>Πλαστικές ύλες</w:t>
      </w:r>
    </w:p>
    <w:p w:rsidR="00111760" w:rsidRPr="00706D37" w:rsidRDefault="00111760" w:rsidP="00706D37">
      <w:pPr>
        <w:rPr>
          <w:lang w:val="el-GR"/>
        </w:rPr>
      </w:pPr>
      <w:r w:rsidRPr="00706D37">
        <w:rPr>
          <w:lang w:val="el-GR"/>
        </w:rPr>
        <w:t>Γαλακτοκομικά</w:t>
      </w:r>
    </w:p>
    <w:p w:rsidR="00111760" w:rsidRPr="00706D37" w:rsidRDefault="00111760" w:rsidP="00706D37">
      <w:pPr>
        <w:rPr>
          <w:lang w:val="el-GR"/>
        </w:rPr>
      </w:pPr>
      <w:r w:rsidRPr="00706D37">
        <w:rPr>
          <w:lang w:val="el-GR"/>
        </w:rPr>
        <w:t>Ποτά, αλκοολούχα  υγρά και ξύδι</w:t>
      </w:r>
    </w:p>
    <w:p w:rsidR="00111760" w:rsidRPr="00706D37" w:rsidRDefault="00111760" w:rsidP="00706D37">
      <w:pPr>
        <w:rPr>
          <w:lang w:val="el-GR"/>
        </w:rPr>
      </w:pPr>
      <w:r w:rsidRPr="00706D37">
        <w:rPr>
          <w:lang w:val="el-GR"/>
        </w:rPr>
        <w:t>Συνθετικές ή τεχνητές ίνες, μη συνεχείς</w:t>
      </w:r>
    </w:p>
    <w:p w:rsidR="00111760" w:rsidRPr="00706D37" w:rsidRDefault="00111760" w:rsidP="00706D37">
      <w:pPr>
        <w:rPr>
          <w:lang w:val="el-GR"/>
        </w:rPr>
      </w:pPr>
      <w:r w:rsidRPr="00706D37">
        <w:rPr>
          <w:lang w:val="el-GR"/>
        </w:rPr>
        <w:t>Φυτά</w:t>
      </w:r>
    </w:p>
    <w:p w:rsidR="00111760" w:rsidRPr="00706D37" w:rsidRDefault="00111760" w:rsidP="00706D37">
      <w:pPr>
        <w:rPr>
          <w:lang w:val="el-GR"/>
        </w:rPr>
      </w:pPr>
      <w:r w:rsidRPr="00706D37">
        <w:rPr>
          <w:lang w:val="el-GR"/>
        </w:rPr>
        <w:t>Ενδύματα και συμπληρώματα του ενδύματος, πλεκτά</w:t>
      </w:r>
    </w:p>
    <w:p w:rsidR="00111760" w:rsidRPr="00706D37" w:rsidRDefault="00111760" w:rsidP="00706D37">
      <w:pPr>
        <w:rPr>
          <w:lang w:val="el-GR"/>
        </w:rPr>
      </w:pPr>
      <w:r w:rsidRPr="00706D37">
        <w:rPr>
          <w:lang w:val="el-GR"/>
        </w:rPr>
        <w:t>Σπέρματα, σπόροι και διάφοροι καρποί</w:t>
      </w:r>
    </w:p>
    <w:p w:rsidR="00111760" w:rsidRPr="00706D37" w:rsidRDefault="00111760" w:rsidP="00706D37">
      <w:pPr>
        <w:rPr>
          <w:lang w:val="el-GR"/>
        </w:rPr>
      </w:pPr>
      <w:r w:rsidRPr="00706D37">
        <w:rPr>
          <w:lang w:val="el-GR"/>
        </w:rPr>
        <w:t>Τάπητες και άλλες επενδύσεις δαπέδου από υφαντικές ύλες</w:t>
      </w:r>
    </w:p>
    <w:p w:rsidR="00111760" w:rsidRPr="00706D37" w:rsidRDefault="00111760" w:rsidP="00706D37">
      <w:pPr>
        <w:rPr>
          <w:lang w:val="el-GR"/>
        </w:rPr>
      </w:pPr>
      <w:r w:rsidRPr="00706D37">
        <w:rPr>
          <w:lang w:val="el-GR"/>
        </w:rPr>
        <w:t>Κρέατα</w:t>
      </w:r>
    </w:p>
    <w:p w:rsidR="00111760" w:rsidRDefault="00111760" w:rsidP="00706D37">
      <w:pPr>
        <w:rPr>
          <w:lang w:val="el-GR"/>
        </w:rPr>
      </w:pPr>
      <w:r w:rsidRPr="00706D37">
        <w:rPr>
          <w:lang w:val="el-GR"/>
        </w:rPr>
        <w:t>Ξυλεία και τεχνουργήματα από ξύλο</w:t>
      </w:r>
    </w:p>
    <w:p w:rsidR="00111760" w:rsidRDefault="00111760" w:rsidP="00706D37">
      <w:pPr>
        <w:rPr>
          <w:lang w:val="el-GR"/>
        </w:rPr>
      </w:pPr>
    </w:p>
    <w:p w:rsidR="00111760" w:rsidRDefault="00111760" w:rsidP="00706D37">
      <w:pPr>
        <w:rPr>
          <w:lang w:val="el-GR"/>
        </w:rPr>
      </w:pPr>
    </w:p>
    <w:p w:rsidR="00111760" w:rsidRDefault="00111760" w:rsidP="00706D37">
      <w:pPr>
        <w:rPr>
          <w:lang w:val="el-GR"/>
        </w:rPr>
      </w:pPr>
    </w:p>
    <w:p w:rsidR="00111760" w:rsidRDefault="00111760" w:rsidP="00706D37">
      <w:pPr>
        <w:rPr>
          <w:lang w:val="el-GR"/>
        </w:rPr>
      </w:pPr>
    </w:p>
    <w:p w:rsidR="00111760" w:rsidRDefault="00111760" w:rsidP="00BE2032">
      <w:pPr>
        <w:jc w:val="both"/>
        <w:rPr>
          <w:lang w:val="el-GR"/>
        </w:rPr>
      </w:pPr>
      <w:r>
        <w:rPr>
          <w:lang w:val="el-GR"/>
        </w:rPr>
        <w:t>Οι κυριότερες χώρες προορισμού των προϊόντων του νομού Ημαθίας  κατά το 2013 ήταν:</w:t>
      </w:r>
    </w:p>
    <w:p w:rsidR="00111760" w:rsidRDefault="00111760" w:rsidP="00706D37">
      <w:pPr>
        <w:rPr>
          <w:lang w:val="el-GR"/>
        </w:rPr>
      </w:pPr>
    </w:p>
    <w:p w:rsidR="00111760" w:rsidRDefault="00111760" w:rsidP="00706D37">
      <w:pPr>
        <w:rPr>
          <w:lang w:val="el-GR"/>
        </w:rPr>
      </w:pPr>
    </w:p>
    <w:p w:rsidR="00111760" w:rsidRPr="003D1668" w:rsidRDefault="00111760" w:rsidP="003D1668">
      <w:pPr>
        <w:rPr>
          <w:lang w:val="el-GR"/>
        </w:rPr>
      </w:pPr>
      <w:r w:rsidRPr="003D1668">
        <w:rPr>
          <w:lang w:val="el-GR"/>
        </w:rPr>
        <w:t>ΓΕΡΜΑΝΙΑ</w:t>
      </w:r>
    </w:p>
    <w:p w:rsidR="00111760" w:rsidRPr="003D1668" w:rsidRDefault="00111760" w:rsidP="003D1668">
      <w:pPr>
        <w:rPr>
          <w:lang w:val="el-GR"/>
        </w:rPr>
      </w:pPr>
      <w:r w:rsidRPr="003D1668">
        <w:rPr>
          <w:lang w:val="el-GR"/>
        </w:rPr>
        <w:t>ΡΩΣΙΑ</w:t>
      </w:r>
    </w:p>
    <w:p w:rsidR="00111760" w:rsidRPr="003D1668" w:rsidRDefault="00111760" w:rsidP="003D1668">
      <w:pPr>
        <w:rPr>
          <w:lang w:val="el-GR"/>
        </w:rPr>
      </w:pPr>
      <w:r w:rsidRPr="003D1668">
        <w:rPr>
          <w:lang w:val="el-GR"/>
        </w:rPr>
        <w:t>ΗΝΩΜΕΝΟ ΒΑΣΙΛΕΙΟ</w:t>
      </w:r>
    </w:p>
    <w:p w:rsidR="00111760" w:rsidRPr="003D1668" w:rsidRDefault="00111760" w:rsidP="003D1668">
      <w:pPr>
        <w:rPr>
          <w:lang w:val="el-GR"/>
        </w:rPr>
      </w:pPr>
      <w:r w:rsidRPr="003D1668">
        <w:rPr>
          <w:lang w:val="el-GR"/>
        </w:rPr>
        <w:t>ΡΟΥΜΑΝΙΑ</w:t>
      </w:r>
    </w:p>
    <w:p w:rsidR="00111760" w:rsidRPr="003D1668" w:rsidRDefault="00111760" w:rsidP="003D1668">
      <w:pPr>
        <w:rPr>
          <w:lang w:val="el-GR"/>
        </w:rPr>
      </w:pPr>
      <w:r w:rsidRPr="003D1668">
        <w:rPr>
          <w:lang w:val="el-GR"/>
        </w:rPr>
        <w:t>ΟΥΚΡΑΝΙΑ</w:t>
      </w:r>
    </w:p>
    <w:p w:rsidR="00111760" w:rsidRPr="003D1668" w:rsidRDefault="00111760" w:rsidP="003D1668">
      <w:pPr>
        <w:rPr>
          <w:lang w:val="el-GR"/>
        </w:rPr>
      </w:pPr>
      <w:r w:rsidRPr="003D1668">
        <w:rPr>
          <w:lang w:val="el-GR"/>
        </w:rPr>
        <w:t>ΓΑΛΛΙΑ</w:t>
      </w:r>
    </w:p>
    <w:p w:rsidR="00111760" w:rsidRPr="003D1668" w:rsidRDefault="00111760" w:rsidP="003D1668">
      <w:pPr>
        <w:rPr>
          <w:lang w:val="el-GR"/>
        </w:rPr>
      </w:pPr>
      <w:r w:rsidRPr="003D1668">
        <w:rPr>
          <w:lang w:val="el-GR"/>
        </w:rPr>
        <w:t>ΒΟΥΛΓΑΡΙΑ</w:t>
      </w:r>
    </w:p>
    <w:p w:rsidR="00111760" w:rsidRPr="003D1668" w:rsidRDefault="00111760" w:rsidP="003D1668">
      <w:pPr>
        <w:rPr>
          <w:lang w:val="el-GR"/>
        </w:rPr>
      </w:pPr>
      <w:r w:rsidRPr="003D1668">
        <w:rPr>
          <w:lang w:val="el-GR"/>
        </w:rPr>
        <w:t>ΙΤΑΛΙΑ</w:t>
      </w:r>
    </w:p>
    <w:p w:rsidR="00111760" w:rsidRPr="003D1668" w:rsidRDefault="00111760" w:rsidP="003D1668">
      <w:pPr>
        <w:rPr>
          <w:lang w:val="el-GR"/>
        </w:rPr>
      </w:pPr>
      <w:r w:rsidRPr="003D1668">
        <w:rPr>
          <w:lang w:val="el-GR"/>
        </w:rPr>
        <w:t>ΚΑΤΩ ΧΩΡΕΣ</w:t>
      </w:r>
    </w:p>
    <w:p w:rsidR="00111760" w:rsidRPr="003D1668" w:rsidRDefault="00111760" w:rsidP="003D1668">
      <w:pPr>
        <w:rPr>
          <w:lang w:val="el-GR"/>
        </w:rPr>
      </w:pPr>
      <w:r w:rsidRPr="003D1668">
        <w:rPr>
          <w:lang w:val="el-GR"/>
        </w:rPr>
        <w:t>ΤΟΥΡΚΙΑ</w:t>
      </w:r>
    </w:p>
    <w:p w:rsidR="00111760" w:rsidRDefault="00111760" w:rsidP="003D1668">
      <w:pPr>
        <w:rPr>
          <w:lang w:val="el-GR"/>
        </w:rPr>
      </w:pPr>
      <w:r w:rsidRPr="003D1668">
        <w:rPr>
          <w:lang w:val="el-GR"/>
        </w:rPr>
        <w:t>ΙΑΠΩΝΙΑ</w:t>
      </w:r>
    </w:p>
    <w:p w:rsidR="00111760" w:rsidRDefault="00111760" w:rsidP="003D1668">
      <w:pPr>
        <w:rPr>
          <w:lang w:val="el-GR"/>
        </w:rPr>
      </w:pPr>
    </w:p>
    <w:p w:rsidR="00111760" w:rsidRDefault="00111760" w:rsidP="003D1668">
      <w:pPr>
        <w:rPr>
          <w:lang w:val="el-GR"/>
        </w:rPr>
      </w:pPr>
    </w:p>
    <w:p w:rsidR="00111760" w:rsidRDefault="00111760" w:rsidP="003D1668">
      <w:pPr>
        <w:rPr>
          <w:lang w:val="el-GR"/>
        </w:rPr>
      </w:pPr>
    </w:p>
    <w:p w:rsidR="00111760" w:rsidRDefault="00111760" w:rsidP="003D1668">
      <w:pPr>
        <w:rPr>
          <w:lang w:val="el-GR"/>
        </w:rPr>
      </w:pPr>
    </w:p>
    <w:p w:rsidR="00111760" w:rsidRDefault="00111760" w:rsidP="003D1668">
      <w:pPr>
        <w:rPr>
          <w:lang w:val="el-GR"/>
        </w:rPr>
      </w:pPr>
    </w:p>
    <w:p w:rsidR="00111760" w:rsidRDefault="00111760" w:rsidP="003D1668">
      <w:pPr>
        <w:rPr>
          <w:lang w:val="el-GR"/>
        </w:rPr>
      </w:pPr>
    </w:p>
    <w:p w:rsidR="00111760" w:rsidRDefault="00111760" w:rsidP="003D1668">
      <w:pPr>
        <w:rPr>
          <w:lang w:val="el-GR"/>
        </w:rPr>
      </w:pPr>
    </w:p>
    <w:p w:rsidR="00111760" w:rsidRDefault="00111760" w:rsidP="003D1668">
      <w:pPr>
        <w:rPr>
          <w:lang w:val="el-GR"/>
        </w:rPr>
      </w:pPr>
    </w:p>
    <w:p w:rsidR="00111760" w:rsidRPr="00A705F3" w:rsidRDefault="00111760" w:rsidP="003D1668">
      <w:pPr>
        <w:rPr>
          <w:b/>
          <w:bCs/>
          <w:lang w:val="el-GR"/>
        </w:rPr>
      </w:pPr>
      <w:r w:rsidRPr="00A705F3">
        <w:rPr>
          <w:b/>
          <w:bCs/>
          <w:lang w:val="el-GR"/>
        </w:rPr>
        <w:t xml:space="preserve">Νομός </w:t>
      </w:r>
      <w:r>
        <w:rPr>
          <w:b/>
          <w:bCs/>
          <w:lang w:val="el-GR"/>
        </w:rPr>
        <w:t xml:space="preserve">Φλώρινας </w:t>
      </w:r>
    </w:p>
    <w:p w:rsidR="00111760" w:rsidRDefault="00111760" w:rsidP="003D1668">
      <w:pPr>
        <w:rPr>
          <w:b/>
          <w:bCs/>
          <w:lang w:val="el-GR"/>
        </w:rPr>
      </w:pPr>
    </w:p>
    <w:p w:rsidR="00111760" w:rsidRPr="00A705F3" w:rsidRDefault="00111760" w:rsidP="003D1668">
      <w:pPr>
        <w:rPr>
          <w:b/>
          <w:bCs/>
          <w:lang w:val="el-GR"/>
        </w:rPr>
      </w:pPr>
    </w:p>
    <w:p w:rsidR="00111760" w:rsidRDefault="00111760" w:rsidP="003D1668">
      <w:pPr>
        <w:rPr>
          <w:lang w:val="el-GR"/>
        </w:rPr>
      </w:pPr>
      <w:r w:rsidRPr="008636E7">
        <w:rPr>
          <w:lang w:val="el-GR"/>
        </w:rPr>
        <w:t xml:space="preserve">Οι κυριότεροι εξαγώγιμοι κλάδοι </w:t>
      </w:r>
      <w:r>
        <w:rPr>
          <w:lang w:val="el-GR"/>
        </w:rPr>
        <w:t>του νομού Φλώρινας κατά το 2013 ήταν:</w:t>
      </w:r>
    </w:p>
    <w:p w:rsidR="00111760" w:rsidRDefault="00111760" w:rsidP="003D1668">
      <w:pPr>
        <w:rPr>
          <w:lang w:val="el-GR"/>
        </w:rPr>
      </w:pPr>
    </w:p>
    <w:p w:rsidR="00111760" w:rsidRDefault="00111760" w:rsidP="003D1668">
      <w:pPr>
        <w:rPr>
          <w:lang w:val="el-GR"/>
        </w:rPr>
      </w:pPr>
    </w:p>
    <w:p w:rsidR="00111760" w:rsidRPr="00060D26" w:rsidRDefault="00111760" w:rsidP="00060D26">
      <w:pPr>
        <w:rPr>
          <w:lang w:val="el-GR"/>
        </w:rPr>
      </w:pPr>
      <w:r w:rsidRPr="00060D26">
        <w:rPr>
          <w:lang w:val="el-GR"/>
        </w:rPr>
        <w:t>Παρασκευάσματα λαχανικών και φρούτων</w:t>
      </w:r>
    </w:p>
    <w:p w:rsidR="00111760" w:rsidRPr="00060D26" w:rsidRDefault="00111760" w:rsidP="00060D26">
      <w:pPr>
        <w:rPr>
          <w:lang w:val="el-GR"/>
        </w:rPr>
      </w:pPr>
      <w:r w:rsidRPr="00060D26">
        <w:rPr>
          <w:lang w:val="el-GR"/>
        </w:rPr>
        <w:t>Ποτά, αλκοολούχα  υγρά και ξύδι</w:t>
      </w:r>
    </w:p>
    <w:p w:rsidR="00111760" w:rsidRPr="00060D26" w:rsidRDefault="00111760" w:rsidP="00060D26">
      <w:pPr>
        <w:rPr>
          <w:lang w:val="el-GR"/>
        </w:rPr>
      </w:pPr>
      <w:r w:rsidRPr="00060D26">
        <w:rPr>
          <w:lang w:val="el-GR"/>
        </w:rPr>
        <w:t>Κακάο και παρασκευάσματα αυτού</w:t>
      </w:r>
    </w:p>
    <w:p w:rsidR="00111760" w:rsidRPr="00060D26" w:rsidRDefault="00111760" w:rsidP="00060D26">
      <w:pPr>
        <w:rPr>
          <w:lang w:val="el-GR"/>
        </w:rPr>
      </w:pPr>
      <w:r w:rsidRPr="00060D26">
        <w:rPr>
          <w:lang w:val="el-GR"/>
        </w:rPr>
        <w:t>Χαρτί και χαρτόνια</w:t>
      </w:r>
    </w:p>
    <w:p w:rsidR="00111760" w:rsidRPr="00060D26" w:rsidRDefault="00111760" w:rsidP="00060D26">
      <w:pPr>
        <w:rPr>
          <w:lang w:val="el-GR"/>
        </w:rPr>
      </w:pPr>
      <w:r w:rsidRPr="00060D26">
        <w:rPr>
          <w:lang w:val="el-GR"/>
        </w:rPr>
        <w:t>Τεχνουργήματα διάφορα</w:t>
      </w:r>
    </w:p>
    <w:p w:rsidR="00111760" w:rsidRPr="00060D26" w:rsidRDefault="00111760" w:rsidP="00060D26">
      <w:pPr>
        <w:rPr>
          <w:lang w:val="el-GR"/>
        </w:rPr>
      </w:pPr>
      <w:r w:rsidRPr="00060D26">
        <w:rPr>
          <w:lang w:val="el-GR"/>
        </w:rPr>
        <w:t>Λέβητες, μηχανές, συσκευές και μηχανικές επινοήσεις και μέρη</w:t>
      </w:r>
    </w:p>
    <w:p w:rsidR="00111760" w:rsidRPr="00060D26" w:rsidRDefault="00111760" w:rsidP="00060D26">
      <w:pPr>
        <w:rPr>
          <w:lang w:val="el-GR"/>
        </w:rPr>
      </w:pPr>
      <w:r w:rsidRPr="00060D26">
        <w:rPr>
          <w:lang w:val="el-GR"/>
        </w:rPr>
        <w:t>Παρασκευάσματα κρεάτων και ψαριών</w:t>
      </w:r>
    </w:p>
    <w:p w:rsidR="00111760" w:rsidRPr="00060D26" w:rsidRDefault="00111760" w:rsidP="00060D26">
      <w:pPr>
        <w:rPr>
          <w:lang w:val="el-GR"/>
        </w:rPr>
      </w:pPr>
      <w:r w:rsidRPr="00060D26">
        <w:rPr>
          <w:lang w:val="el-GR"/>
        </w:rPr>
        <w:t xml:space="preserve">Αιθέρια έλαια και καλλυντικά παρασκευάσματα </w:t>
      </w:r>
    </w:p>
    <w:p w:rsidR="00111760" w:rsidRDefault="00111760" w:rsidP="00060D26">
      <w:pPr>
        <w:rPr>
          <w:lang w:val="el-GR"/>
        </w:rPr>
      </w:pPr>
      <w:r w:rsidRPr="00060D26">
        <w:rPr>
          <w:lang w:val="el-GR"/>
        </w:rPr>
        <w:t>Ενδύματα και συμπληρώματα του ενδύματος, πλεκτά</w:t>
      </w: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2A5A6D">
      <w:pPr>
        <w:jc w:val="both"/>
        <w:rPr>
          <w:lang w:val="el-GR"/>
        </w:rPr>
      </w:pPr>
      <w:r>
        <w:rPr>
          <w:lang w:val="el-GR"/>
        </w:rPr>
        <w:t>Οι κυριότερες χώρες προορισμού των προϊόντων του νομού Φλώρινας κατά το 2013 ήταν:</w:t>
      </w: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Pr="003A549B" w:rsidRDefault="00111760" w:rsidP="003D3E87">
      <w:pPr>
        <w:rPr>
          <w:lang w:val="el-GR"/>
        </w:rPr>
      </w:pPr>
      <w:r>
        <w:rPr>
          <w:lang w:val="el-GR"/>
        </w:rPr>
        <w:t>Π.Γ.Δ.Μ.</w:t>
      </w:r>
    </w:p>
    <w:p w:rsidR="00111760" w:rsidRPr="002A5A6D" w:rsidRDefault="00111760" w:rsidP="002A5A6D">
      <w:pPr>
        <w:rPr>
          <w:lang w:val="el-GR"/>
        </w:rPr>
      </w:pPr>
      <w:r w:rsidRPr="002A5A6D">
        <w:rPr>
          <w:lang w:val="el-GR"/>
        </w:rPr>
        <w:t>ΙΣΠΑΝΙΑ</w:t>
      </w:r>
    </w:p>
    <w:p w:rsidR="00111760" w:rsidRPr="002A5A6D" w:rsidRDefault="00111760" w:rsidP="002A5A6D">
      <w:pPr>
        <w:rPr>
          <w:lang w:val="el-GR"/>
        </w:rPr>
      </w:pPr>
      <w:r w:rsidRPr="002A5A6D">
        <w:rPr>
          <w:lang w:val="el-GR"/>
        </w:rPr>
        <w:t>ΓΕΡΜΑΝΙΑ</w:t>
      </w:r>
    </w:p>
    <w:p w:rsidR="00111760" w:rsidRPr="002A5A6D" w:rsidRDefault="00111760" w:rsidP="002A5A6D">
      <w:pPr>
        <w:rPr>
          <w:lang w:val="el-GR"/>
        </w:rPr>
      </w:pPr>
      <w:r w:rsidRPr="002A5A6D">
        <w:rPr>
          <w:lang w:val="el-GR"/>
        </w:rPr>
        <w:t>ΚΙΝΑ</w:t>
      </w:r>
    </w:p>
    <w:p w:rsidR="00111760" w:rsidRPr="002A5A6D" w:rsidRDefault="00111760" w:rsidP="002A5A6D">
      <w:pPr>
        <w:rPr>
          <w:lang w:val="el-GR"/>
        </w:rPr>
      </w:pPr>
      <w:r w:rsidRPr="002A5A6D">
        <w:rPr>
          <w:lang w:val="el-GR"/>
        </w:rPr>
        <w:t>Η Π Α</w:t>
      </w:r>
    </w:p>
    <w:p w:rsidR="00111760" w:rsidRPr="002A5A6D" w:rsidRDefault="00111760" w:rsidP="002A5A6D">
      <w:pPr>
        <w:rPr>
          <w:lang w:val="el-GR"/>
        </w:rPr>
      </w:pPr>
      <w:r w:rsidRPr="002A5A6D">
        <w:rPr>
          <w:lang w:val="el-GR"/>
        </w:rPr>
        <w:t>ΑΛΒΑΝΙΑ</w:t>
      </w:r>
    </w:p>
    <w:p w:rsidR="00111760" w:rsidRPr="002A5A6D" w:rsidRDefault="00111760" w:rsidP="002A5A6D">
      <w:pPr>
        <w:rPr>
          <w:lang w:val="el-GR"/>
        </w:rPr>
      </w:pPr>
      <w:r w:rsidRPr="002A5A6D">
        <w:rPr>
          <w:lang w:val="el-GR"/>
        </w:rPr>
        <w:t>ΣΑΟΥΔΙΚΗ ΑΡΑΒΙΑ</w:t>
      </w:r>
    </w:p>
    <w:p w:rsidR="00111760" w:rsidRPr="002A5A6D" w:rsidRDefault="00111760" w:rsidP="002A5A6D">
      <w:pPr>
        <w:rPr>
          <w:lang w:val="el-GR"/>
        </w:rPr>
      </w:pPr>
      <w:r w:rsidRPr="002A5A6D">
        <w:rPr>
          <w:lang w:val="el-GR"/>
        </w:rPr>
        <w:t>ΕΝΩΜΕΝΑ ΑΡΑΒΙΚΑ ΕΜΙΡΑΤΑ</w:t>
      </w:r>
    </w:p>
    <w:p w:rsidR="00111760" w:rsidRPr="002A5A6D" w:rsidRDefault="00111760" w:rsidP="002A5A6D">
      <w:pPr>
        <w:rPr>
          <w:lang w:val="el-GR"/>
        </w:rPr>
      </w:pPr>
      <w:r w:rsidRPr="002A5A6D">
        <w:rPr>
          <w:lang w:val="el-GR"/>
        </w:rPr>
        <w:t>ΑΥΣΤΡΑΛΙΑ</w:t>
      </w:r>
    </w:p>
    <w:p w:rsidR="00111760" w:rsidRDefault="00111760" w:rsidP="002A5A6D">
      <w:pPr>
        <w:rPr>
          <w:lang w:val="el-GR"/>
        </w:rPr>
      </w:pPr>
      <w:r w:rsidRPr="002A5A6D">
        <w:rPr>
          <w:lang w:val="el-GR"/>
        </w:rPr>
        <w:t>ΗΝΩΜΕΝΟ ΒΑΣΙΛΕΙΟ</w:t>
      </w:r>
    </w:p>
    <w:p w:rsidR="00111760" w:rsidRDefault="00111760" w:rsidP="002A5A6D">
      <w:pPr>
        <w:rPr>
          <w:lang w:val="el-GR"/>
        </w:rPr>
      </w:pPr>
    </w:p>
    <w:p w:rsidR="00111760" w:rsidRDefault="00111760" w:rsidP="002A5A6D">
      <w:pPr>
        <w:rPr>
          <w:lang w:val="el-GR"/>
        </w:rPr>
      </w:pPr>
    </w:p>
    <w:p w:rsidR="00111760" w:rsidRDefault="00111760" w:rsidP="002A5A6D">
      <w:pPr>
        <w:rPr>
          <w:lang w:val="el-GR"/>
        </w:rPr>
      </w:pPr>
    </w:p>
    <w:p w:rsidR="00111760" w:rsidRDefault="00111760" w:rsidP="002A5A6D">
      <w:pPr>
        <w:rPr>
          <w:lang w:val="el-GR"/>
        </w:rPr>
      </w:pPr>
    </w:p>
    <w:p w:rsidR="00111760" w:rsidRDefault="00111760" w:rsidP="002A5A6D">
      <w:pPr>
        <w:rPr>
          <w:lang w:val="el-GR"/>
        </w:rPr>
      </w:pPr>
    </w:p>
    <w:p w:rsidR="00111760" w:rsidRDefault="00111760" w:rsidP="002A5A6D">
      <w:pPr>
        <w:rPr>
          <w:lang w:val="el-GR"/>
        </w:rPr>
      </w:pPr>
    </w:p>
    <w:p w:rsidR="00111760" w:rsidRDefault="00111760" w:rsidP="002A5A6D">
      <w:pPr>
        <w:rPr>
          <w:lang w:val="el-GR"/>
        </w:rPr>
      </w:pPr>
    </w:p>
    <w:p w:rsidR="00111760" w:rsidRDefault="00111760" w:rsidP="002A5A6D">
      <w:pPr>
        <w:rPr>
          <w:lang w:val="el-GR"/>
        </w:rPr>
      </w:pPr>
    </w:p>
    <w:p w:rsidR="00111760" w:rsidRDefault="00111760" w:rsidP="002A5A6D">
      <w:pPr>
        <w:rPr>
          <w:lang w:val="el-GR"/>
        </w:rPr>
      </w:pPr>
    </w:p>
    <w:p w:rsidR="00111760" w:rsidRDefault="00111760" w:rsidP="002A5A6D">
      <w:pPr>
        <w:rPr>
          <w:lang w:val="el-GR"/>
        </w:rPr>
      </w:pPr>
    </w:p>
    <w:p w:rsidR="00111760" w:rsidRDefault="00111760" w:rsidP="002A5A6D">
      <w:pPr>
        <w:rPr>
          <w:lang w:val="el-GR"/>
        </w:rPr>
      </w:pPr>
    </w:p>
    <w:p w:rsidR="00111760" w:rsidRDefault="00111760" w:rsidP="002A5A6D">
      <w:pPr>
        <w:rPr>
          <w:lang w:val="el-GR"/>
        </w:rPr>
      </w:pPr>
    </w:p>
    <w:p w:rsidR="00111760" w:rsidRDefault="00111760" w:rsidP="002A5A6D">
      <w:pPr>
        <w:rPr>
          <w:lang w:val="el-GR"/>
        </w:rPr>
      </w:pPr>
    </w:p>
    <w:p w:rsidR="00111760" w:rsidRDefault="00111760" w:rsidP="002A5A6D">
      <w:pPr>
        <w:rPr>
          <w:lang w:val="el-GR"/>
        </w:rPr>
      </w:pPr>
    </w:p>
    <w:p w:rsidR="00111760" w:rsidRDefault="00111760" w:rsidP="00060D26">
      <w:pPr>
        <w:rPr>
          <w:b/>
          <w:bCs/>
          <w:lang w:val="el-GR"/>
        </w:rPr>
      </w:pPr>
      <w:r w:rsidRPr="00A705F3">
        <w:rPr>
          <w:b/>
          <w:bCs/>
          <w:lang w:val="el-GR"/>
        </w:rPr>
        <w:t xml:space="preserve">Νομός </w:t>
      </w:r>
      <w:r>
        <w:rPr>
          <w:b/>
          <w:bCs/>
          <w:lang w:val="el-GR"/>
        </w:rPr>
        <w:t xml:space="preserve">Κοζάνης </w:t>
      </w:r>
    </w:p>
    <w:p w:rsidR="00111760" w:rsidRDefault="00111760" w:rsidP="00060D26">
      <w:pPr>
        <w:rPr>
          <w:b/>
          <w:bCs/>
          <w:lang w:val="el-GR"/>
        </w:rPr>
      </w:pPr>
    </w:p>
    <w:p w:rsidR="00111760" w:rsidRPr="00A705F3" w:rsidRDefault="00111760" w:rsidP="00060D26">
      <w:pPr>
        <w:rPr>
          <w:b/>
          <w:bCs/>
          <w:lang w:val="el-GR"/>
        </w:rPr>
      </w:pPr>
    </w:p>
    <w:p w:rsidR="00111760" w:rsidRDefault="00111760" w:rsidP="00060D26">
      <w:pPr>
        <w:rPr>
          <w:lang w:val="el-GR"/>
        </w:rPr>
      </w:pPr>
      <w:r w:rsidRPr="008636E7">
        <w:rPr>
          <w:lang w:val="el-GR"/>
        </w:rPr>
        <w:t>Οι κυριότεροι εξαγώγιμοι κλάδοι</w:t>
      </w:r>
      <w:r w:rsidRPr="008636E7">
        <w:rPr>
          <w:b/>
          <w:bCs/>
          <w:lang w:val="el-GR"/>
        </w:rPr>
        <w:t xml:space="preserve"> </w:t>
      </w:r>
      <w:r>
        <w:rPr>
          <w:lang w:val="el-GR"/>
        </w:rPr>
        <w:t>του νομού Κοζάνης κατά το 2013 ήταν:</w:t>
      </w: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Pr="00060D26" w:rsidRDefault="00111760" w:rsidP="00060D26">
      <w:pPr>
        <w:rPr>
          <w:lang w:val="el-GR"/>
        </w:rPr>
      </w:pPr>
      <w:r w:rsidRPr="00060D26">
        <w:rPr>
          <w:lang w:val="el-GR"/>
        </w:rPr>
        <w:t>Λίπη και έλαια</w:t>
      </w:r>
    </w:p>
    <w:p w:rsidR="00111760" w:rsidRPr="00060D26" w:rsidRDefault="00111760" w:rsidP="00060D26">
      <w:pPr>
        <w:rPr>
          <w:lang w:val="el-GR"/>
        </w:rPr>
      </w:pPr>
      <w:r w:rsidRPr="00060D26">
        <w:rPr>
          <w:lang w:val="el-GR"/>
        </w:rPr>
        <w:t>Γουνοδέρματα και γουναρικά.</w:t>
      </w:r>
    </w:p>
    <w:p w:rsidR="00111760" w:rsidRPr="00060D26" w:rsidRDefault="00111760" w:rsidP="00060D26">
      <w:pPr>
        <w:rPr>
          <w:lang w:val="el-GR"/>
        </w:rPr>
      </w:pPr>
      <w:r w:rsidRPr="00060D26">
        <w:rPr>
          <w:lang w:val="el-GR"/>
        </w:rPr>
        <w:t>Παρασκευάσματα με βάση τα δημητριακά</w:t>
      </w:r>
    </w:p>
    <w:p w:rsidR="00111760" w:rsidRPr="00060D26" w:rsidRDefault="00111760" w:rsidP="00060D26">
      <w:pPr>
        <w:rPr>
          <w:lang w:val="el-GR"/>
        </w:rPr>
      </w:pPr>
      <w:r w:rsidRPr="00060D26">
        <w:rPr>
          <w:lang w:val="el-GR"/>
        </w:rPr>
        <w:t>Δέρματα (άλλα από τα γουνοδέρματα)</w:t>
      </w:r>
    </w:p>
    <w:p w:rsidR="00111760" w:rsidRPr="00060D26" w:rsidRDefault="00111760" w:rsidP="00060D26">
      <w:pPr>
        <w:rPr>
          <w:lang w:val="el-GR"/>
        </w:rPr>
      </w:pPr>
      <w:r w:rsidRPr="00060D26">
        <w:rPr>
          <w:lang w:val="el-GR"/>
        </w:rPr>
        <w:t>Λέβητες, μηχανές, συσκευές και μηχανικές επινοήσεις και μέρη</w:t>
      </w:r>
    </w:p>
    <w:p w:rsidR="00111760" w:rsidRPr="00060D26" w:rsidRDefault="00111760" w:rsidP="00060D26">
      <w:pPr>
        <w:rPr>
          <w:lang w:val="el-GR"/>
        </w:rPr>
      </w:pPr>
      <w:r w:rsidRPr="00060D26">
        <w:rPr>
          <w:lang w:val="el-GR"/>
        </w:rPr>
        <w:t>Καρποί και φρούτα νωπά</w:t>
      </w:r>
    </w:p>
    <w:p w:rsidR="00111760" w:rsidRPr="00060D26" w:rsidRDefault="00111760" w:rsidP="00060D26">
      <w:pPr>
        <w:rPr>
          <w:lang w:val="el-GR"/>
        </w:rPr>
      </w:pPr>
      <w:r w:rsidRPr="00060D26">
        <w:rPr>
          <w:lang w:val="el-GR"/>
        </w:rPr>
        <w:t>Δημητριακά</w:t>
      </w:r>
    </w:p>
    <w:p w:rsidR="00111760" w:rsidRPr="00060D26" w:rsidRDefault="00111760" w:rsidP="00060D26">
      <w:pPr>
        <w:rPr>
          <w:lang w:val="el-GR"/>
        </w:rPr>
      </w:pPr>
      <w:r w:rsidRPr="00060D26">
        <w:rPr>
          <w:lang w:val="el-GR"/>
        </w:rPr>
        <w:t>Ορυκτά καύσιμα, λάδια και ασφαλτώδεις ύλες</w:t>
      </w:r>
    </w:p>
    <w:p w:rsidR="00111760" w:rsidRDefault="00111760" w:rsidP="00060D26">
      <w:pPr>
        <w:rPr>
          <w:lang w:val="el-GR"/>
        </w:rPr>
      </w:pPr>
      <w:r w:rsidRPr="00060D26">
        <w:rPr>
          <w:lang w:val="el-GR"/>
        </w:rPr>
        <w:t>Γαλακτοκομικά</w:t>
      </w: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F450E1">
      <w:pPr>
        <w:jc w:val="both"/>
        <w:rPr>
          <w:lang w:val="el-GR"/>
        </w:rPr>
      </w:pPr>
      <w:r>
        <w:rPr>
          <w:lang w:val="el-GR"/>
        </w:rPr>
        <w:t>Οι κυριότερες χώρες προορισμού των προϊόντων του νομού Κοζάνης κατά το 2013 ήταν:</w:t>
      </w: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Pr="00F450E1" w:rsidRDefault="00111760" w:rsidP="00F450E1">
      <w:pPr>
        <w:rPr>
          <w:lang w:val="el-GR"/>
        </w:rPr>
      </w:pPr>
      <w:r w:rsidRPr="00F450E1">
        <w:rPr>
          <w:lang w:val="el-GR"/>
        </w:rPr>
        <w:t>ΙΤΑΛΙΑ</w:t>
      </w:r>
    </w:p>
    <w:p w:rsidR="00111760" w:rsidRPr="00F450E1" w:rsidRDefault="00111760" w:rsidP="00F450E1">
      <w:pPr>
        <w:rPr>
          <w:lang w:val="el-GR"/>
        </w:rPr>
      </w:pPr>
      <w:r w:rsidRPr="00F450E1">
        <w:rPr>
          <w:lang w:val="el-GR"/>
        </w:rPr>
        <w:t>ΓΕΡΜΑΝΙΑ</w:t>
      </w:r>
    </w:p>
    <w:p w:rsidR="00111760" w:rsidRPr="003A549B" w:rsidRDefault="00111760" w:rsidP="003D3E87">
      <w:pPr>
        <w:rPr>
          <w:lang w:val="el-GR"/>
        </w:rPr>
      </w:pPr>
      <w:r>
        <w:rPr>
          <w:lang w:val="el-GR"/>
        </w:rPr>
        <w:t>Π.Γ.Δ.Μ.</w:t>
      </w:r>
    </w:p>
    <w:p w:rsidR="00111760" w:rsidRPr="00F450E1" w:rsidRDefault="00111760" w:rsidP="00F450E1">
      <w:pPr>
        <w:rPr>
          <w:lang w:val="el-GR"/>
        </w:rPr>
      </w:pPr>
      <w:r w:rsidRPr="00F450E1">
        <w:rPr>
          <w:lang w:val="el-GR"/>
        </w:rPr>
        <w:t>ΤΟΥΡΚΙΑ</w:t>
      </w:r>
    </w:p>
    <w:p w:rsidR="00111760" w:rsidRPr="00F450E1" w:rsidRDefault="00111760" w:rsidP="00F450E1">
      <w:pPr>
        <w:rPr>
          <w:lang w:val="el-GR"/>
        </w:rPr>
      </w:pPr>
      <w:r w:rsidRPr="00F450E1">
        <w:rPr>
          <w:lang w:val="el-GR"/>
        </w:rPr>
        <w:t>ΒΟΣΝΙΑ-ΕΡΖΕΓΟΒΙΝΗ</w:t>
      </w:r>
    </w:p>
    <w:p w:rsidR="00111760" w:rsidRPr="00F450E1" w:rsidRDefault="00111760" w:rsidP="00F450E1">
      <w:pPr>
        <w:rPr>
          <w:lang w:val="el-GR"/>
        </w:rPr>
      </w:pPr>
      <w:r w:rsidRPr="00F450E1">
        <w:rPr>
          <w:lang w:val="el-GR"/>
        </w:rPr>
        <w:t>ΚΥΠΡΟΣ</w:t>
      </w:r>
    </w:p>
    <w:p w:rsidR="00111760" w:rsidRPr="00F450E1" w:rsidRDefault="00111760" w:rsidP="00F450E1">
      <w:pPr>
        <w:rPr>
          <w:lang w:val="el-GR"/>
        </w:rPr>
      </w:pPr>
      <w:r w:rsidRPr="00F450E1">
        <w:rPr>
          <w:lang w:val="el-GR"/>
        </w:rPr>
        <w:t>ΔΑΝΙΑ</w:t>
      </w:r>
    </w:p>
    <w:p w:rsidR="00111760" w:rsidRPr="00F450E1" w:rsidRDefault="00111760" w:rsidP="00F450E1">
      <w:pPr>
        <w:rPr>
          <w:lang w:val="el-GR"/>
        </w:rPr>
      </w:pPr>
      <w:r w:rsidRPr="00F450E1">
        <w:rPr>
          <w:lang w:val="el-GR"/>
        </w:rPr>
        <w:t>ΣΕΡΒΙΑ</w:t>
      </w:r>
    </w:p>
    <w:p w:rsidR="00111760" w:rsidRPr="00F450E1" w:rsidRDefault="00111760" w:rsidP="00F450E1">
      <w:pPr>
        <w:rPr>
          <w:lang w:val="el-GR"/>
        </w:rPr>
      </w:pPr>
      <w:r w:rsidRPr="00F450E1">
        <w:rPr>
          <w:lang w:val="el-GR"/>
        </w:rPr>
        <w:t>ΡΟΥΜΑΝΙΑ</w:t>
      </w:r>
    </w:p>
    <w:p w:rsidR="00111760" w:rsidRPr="00F450E1" w:rsidRDefault="00111760" w:rsidP="00F450E1">
      <w:pPr>
        <w:rPr>
          <w:lang w:val="el-GR"/>
        </w:rPr>
      </w:pPr>
      <w:r w:rsidRPr="00F450E1">
        <w:rPr>
          <w:lang w:val="el-GR"/>
        </w:rPr>
        <w:t>ΠΟΛΩΝΙΑ</w:t>
      </w: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b/>
          <w:bCs/>
          <w:lang w:val="el-GR"/>
        </w:rPr>
      </w:pPr>
      <w:r w:rsidRPr="00A705F3">
        <w:rPr>
          <w:b/>
          <w:bCs/>
          <w:lang w:val="el-GR"/>
        </w:rPr>
        <w:t xml:space="preserve">Νομός </w:t>
      </w:r>
      <w:r>
        <w:rPr>
          <w:b/>
          <w:bCs/>
          <w:lang w:val="el-GR"/>
        </w:rPr>
        <w:t>Καστοριάς</w:t>
      </w:r>
    </w:p>
    <w:p w:rsidR="00111760" w:rsidRPr="00A705F3" w:rsidRDefault="00111760" w:rsidP="00060D26">
      <w:pPr>
        <w:rPr>
          <w:b/>
          <w:bCs/>
          <w:lang w:val="el-GR"/>
        </w:rPr>
      </w:pPr>
    </w:p>
    <w:p w:rsidR="00111760" w:rsidRPr="00A705F3" w:rsidRDefault="00111760" w:rsidP="00060D26">
      <w:pPr>
        <w:rPr>
          <w:b/>
          <w:bCs/>
          <w:lang w:val="el-GR"/>
        </w:rPr>
      </w:pPr>
    </w:p>
    <w:p w:rsidR="00111760" w:rsidRDefault="00111760" w:rsidP="00060D26">
      <w:pPr>
        <w:rPr>
          <w:lang w:val="el-GR"/>
        </w:rPr>
      </w:pPr>
      <w:r w:rsidRPr="008636E7">
        <w:rPr>
          <w:lang w:val="el-GR"/>
        </w:rPr>
        <w:t xml:space="preserve">Οι κυριότεροι εξαγώγιμοι κλάδοι </w:t>
      </w:r>
      <w:r>
        <w:rPr>
          <w:lang w:val="el-GR"/>
        </w:rPr>
        <w:t>του νομού Καστοριάς κατά το 2013 ήταν:</w:t>
      </w:r>
    </w:p>
    <w:p w:rsidR="00111760" w:rsidRDefault="00111760" w:rsidP="00060D26">
      <w:pPr>
        <w:rPr>
          <w:lang w:val="el-GR"/>
        </w:rPr>
      </w:pPr>
    </w:p>
    <w:p w:rsidR="00111760" w:rsidRDefault="00111760" w:rsidP="00060D26">
      <w:pPr>
        <w:rPr>
          <w:lang w:val="el-GR"/>
        </w:rPr>
      </w:pPr>
    </w:p>
    <w:p w:rsidR="00111760" w:rsidRPr="00905586" w:rsidRDefault="00111760" w:rsidP="00905586">
      <w:pPr>
        <w:rPr>
          <w:lang w:val="el-GR"/>
        </w:rPr>
      </w:pPr>
      <w:r w:rsidRPr="00905586">
        <w:rPr>
          <w:lang w:val="el-GR"/>
        </w:rPr>
        <w:t>Γουνοδέρματα και γουναρικά.</w:t>
      </w:r>
    </w:p>
    <w:p w:rsidR="00111760" w:rsidRPr="00905586" w:rsidRDefault="00111760" w:rsidP="00905586">
      <w:pPr>
        <w:rPr>
          <w:lang w:val="el-GR"/>
        </w:rPr>
      </w:pPr>
      <w:r w:rsidRPr="00905586">
        <w:rPr>
          <w:lang w:val="el-GR"/>
        </w:rPr>
        <w:t>Χυτοσίδηρος, σίδηρος και χάλυβας</w:t>
      </w:r>
    </w:p>
    <w:p w:rsidR="00111760" w:rsidRPr="00905586" w:rsidRDefault="00111760" w:rsidP="00905586">
      <w:pPr>
        <w:rPr>
          <w:lang w:val="el-GR"/>
        </w:rPr>
      </w:pPr>
      <w:r w:rsidRPr="00905586">
        <w:rPr>
          <w:lang w:val="el-GR"/>
        </w:rPr>
        <w:t>Καρποί και φρούτα νωπά</w:t>
      </w:r>
    </w:p>
    <w:p w:rsidR="00111760" w:rsidRPr="00905586" w:rsidRDefault="00111760" w:rsidP="00905586">
      <w:pPr>
        <w:rPr>
          <w:lang w:val="el-GR"/>
        </w:rPr>
      </w:pPr>
      <w:r w:rsidRPr="00905586">
        <w:rPr>
          <w:lang w:val="el-GR"/>
        </w:rPr>
        <w:t>Ξυλεία και τεχνουργήματα από ξύλο</w:t>
      </w:r>
    </w:p>
    <w:p w:rsidR="00111760" w:rsidRPr="00905586" w:rsidRDefault="00111760" w:rsidP="00905586">
      <w:pPr>
        <w:rPr>
          <w:lang w:val="el-GR"/>
        </w:rPr>
      </w:pPr>
      <w:r w:rsidRPr="00905586">
        <w:rPr>
          <w:lang w:val="el-GR"/>
        </w:rPr>
        <w:t>Πλαστικές ύλες</w:t>
      </w:r>
    </w:p>
    <w:p w:rsidR="00111760" w:rsidRPr="00905586" w:rsidRDefault="00111760" w:rsidP="00905586">
      <w:pPr>
        <w:rPr>
          <w:lang w:val="el-GR"/>
        </w:rPr>
      </w:pPr>
      <w:r w:rsidRPr="00905586">
        <w:rPr>
          <w:lang w:val="el-GR"/>
        </w:rPr>
        <w:t>Χαρτί και χαρτόνια</w:t>
      </w:r>
    </w:p>
    <w:p w:rsidR="00111760" w:rsidRPr="00905586" w:rsidRDefault="00111760" w:rsidP="00905586">
      <w:pPr>
        <w:rPr>
          <w:lang w:val="el-GR"/>
        </w:rPr>
      </w:pPr>
      <w:r w:rsidRPr="00905586">
        <w:rPr>
          <w:lang w:val="el-GR"/>
        </w:rPr>
        <w:t>Λέβητες, μηχανές, συσκευές και μηχανικές επινοήσεις και μέρη</w:t>
      </w:r>
    </w:p>
    <w:p w:rsidR="00111760" w:rsidRPr="00905586" w:rsidRDefault="00111760" w:rsidP="00905586">
      <w:pPr>
        <w:rPr>
          <w:lang w:val="el-GR"/>
        </w:rPr>
      </w:pPr>
      <w:r w:rsidRPr="00905586">
        <w:rPr>
          <w:lang w:val="el-GR"/>
        </w:rPr>
        <w:t>Προϊόντα κεραμευτικής</w:t>
      </w:r>
    </w:p>
    <w:p w:rsidR="00111760" w:rsidRPr="00905586" w:rsidRDefault="00111760" w:rsidP="00905586">
      <w:pPr>
        <w:rPr>
          <w:lang w:val="el-GR"/>
        </w:rPr>
      </w:pPr>
      <w:r w:rsidRPr="00905586">
        <w:rPr>
          <w:lang w:val="el-GR"/>
        </w:rPr>
        <w:t>Τεχνουργήματα από χυτοσίδηρο, σίδηρο ή χάλυβα</w:t>
      </w:r>
    </w:p>
    <w:p w:rsidR="00111760" w:rsidRPr="00905586" w:rsidRDefault="00111760" w:rsidP="00905586">
      <w:pPr>
        <w:rPr>
          <w:lang w:val="el-GR"/>
        </w:rPr>
      </w:pPr>
      <w:r w:rsidRPr="00905586">
        <w:rPr>
          <w:lang w:val="el-GR"/>
        </w:rPr>
        <w:t>Γαλακτοκομικά</w:t>
      </w:r>
    </w:p>
    <w:p w:rsidR="00111760" w:rsidRPr="00905586" w:rsidRDefault="00111760" w:rsidP="00905586">
      <w:pPr>
        <w:rPr>
          <w:lang w:val="el-GR"/>
        </w:rPr>
      </w:pPr>
      <w:r w:rsidRPr="00905586">
        <w:rPr>
          <w:lang w:val="el-GR"/>
        </w:rPr>
        <w:t>Μηχανές, συσκευές και υλικά ηλεκτρικά και τα μέρη τους</w:t>
      </w:r>
    </w:p>
    <w:p w:rsidR="00111760" w:rsidRPr="00905586" w:rsidRDefault="00111760" w:rsidP="00905586">
      <w:pPr>
        <w:rPr>
          <w:lang w:val="el-GR"/>
        </w:rPr>
      </w:pPr>
      <w:r w:rsidRPr="00905586">
        <w:rPr>
          <w:lang w:val="el-GR"/>
        </w:rPr>
        <w:t>Δεψικά και βαφικά εκχυλίσματα. Χρώματα</w:t>
      </w:r>
    </w:p>
    <w:p w:rsidR="00111760" w:rsidRDefault="00111760" w:rsidP="00905586">
      <w:pPr>
        <w:rPr>
          <w:lang w:val="el-GR"/>
        </w:rPr>
      </w:pPr>
      <w:r w:rsidRPr="00905586">
        <w:rPr>
          <w:lang w:val="el-GR"/>
        </w:rPr>
        <w:t>Παρασκευάσματα λαχανικών και φρούτων</w:t>
      </w: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Default="00111760" w:rsidP="00D42CC5">
      <w:pPr>
        <w:jc w:val="both"/>
        <w:rPr>
          <w:lang w:val="el-GR"/>
        </w:rPr>
      </w:pPr>
      <w:r>
        <w:rPr>
          <w:lang w:val="el-GR"/>
        </w:rPr>
        <w:t>Οι κυριότερες χώρες προορισμού των προϊόντων του νομού Καστοριάς κατά το 2013 ήταν:</w:t>
      </w: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Pr="00D42CC5" w:rsidRDefault="00111760" w:rsidP="00D42CC5">
      <w:pPr>
        <w:rPr>
          <w:lang w:val="el-GR"/>
        </w:rPr>
      </w:pPr>
      <w:r w:rsidRPr="00D42CC5">
        <w:rPr>
          <w:lang w:val="el-GR"/>
        </w:rPr>
        <w:t>ΕΝΩΜΕΝΑ ΑΡΑΒΙΚΑ ΕΜΙΡΑΤΑ</w:t>
      </w:r>
    </w:p>
    <w:p w:rsidR="00111760" w:rsidRPr="00D42CC5" w:rsidRDefault="00111760" w:rsidP="00D42CC5">
      <w:pPr>
        <w:rPr>
          <w:lang w:val="el-GR"/>
        </w:rPr>
      </w:pPr>
      <w:r w:rsidRPr="00D42CC5">
        <w:rPr>
          <w:lang w:val="el-GR"/>
        </w:rPr>
        <w:t>ΡΩΣΙΑ</w:t>
      </w:r>
    </w:p>
    <w:p w:rsidR="00111760" w:rsidRPr="00D42CC5" w:rsidRDefault="00111760" w:rsidP="00D42CC5">
      <w:pPr>
        <w:rPr>
          <w:lang w:val="el-GR"/>
        </w:rPr>
      </w:pPr>
      <w:r w:rsidRPr="00D42CC5">
        <w:rPr>
          <w:lang w:val="el-GR"/>
        </w:rPr>
        <w:t>ΑΛΒΑΝΙΑ</w:t>
      </w:r>
    </w:p>
    <w:p w:rsidR="00111760" w:rsidRPr="00D42CC5" w:rsidRDefault="00111760" w:rsidP="00D42CC5">
      <w:pPr>
        <w:rPr>
          <w:lang w:val="el-GR"/>
        </w:rPr>
      </w:pPr>
      <w:r w:rsidRPr="00D42CC5">
        <w:rPr>
          <w:lang w:val="el-GR"/>
        </w:rPr>
        <w:t>ΙΤΑΛΙΑ</w:t>
      </w:r>
    </w:p>
    <w:p w:rsidR="00111760" w:rsidRPr="00D42CC5" w:rsidRDefault="00111760" w:rsidP="00D42CC5">
      <w:pPr>
        <w:rPr>
          <w:lang w:val="el-GR"/>
        </w:rPr>
      </w:pPr>
      <w:r w:rsidRPr="00D42CC5">
        <w:rPr>
          <w:lang w:val="el-GR"/>
        </w:rPr>
        <w:t>ΔΑΝΙΑ</w:t>
      </w:r>
    </w:p>
    <w:p w:rsidR="00111760" w:rsidRPr="00D42CC5" w:rsidRDefault="00111760" w:rsidP="00D42CC5">
      <w:pPr>
        <w:rPr>
          <w:lang w:val="el-GR"/>
        </w:rPr>
      </w:pPr>
      <w:r w:rsidRPr="00D42CC5">
        <w:rPr>
          <w:lang w:val="el-GR"/>
        </w:rPr>
        <w:t>ΚΙΝΑ</w:t>
      </w:r>
    </w:p>
    <w:p w:rsidR="00111760" w:rsidRPr="00D42CC5" w:rsidRDefault="00111760" w:rsidP="00D42CC5">
      <w:pPr>
        <w:rPr>
          <w:lang w:val="el-GR"/>
        </w:rPr>
      </w:pPr>
      <w:r w:rsidRPr="00D42CC5">
        <w:rPr>
          <w:lang w:val="el-GR"/>
        </w:rPr>
        <w:t>ΧΟΓΚ-ΚΟΓΚ</w:t>
      </w:r>
    </w:p>
    <w:p w:rsidR="00111760" w:rsidRPr="00D42CC5" w:rsidRDefault="00111760" w:rsidP="00D42CC5">
      <w:pPr>
        <w:rPr>
          <w:lang w:val="el-GR"/>
        </w:rPr>
      </w:pPr>
      <w:r w:rsidRPr="00D42CC5">
        <w:rPr>
          <w:lang w:val="el-GR"/>
        </w:rPr>
        <w:t>ΓΕΡΜΑΝΙΑ</w:t>
      </w:r>
    </w:p>
    <w:p w:rsidR="00111760" w:rsidRPr="00D42CC5" w:rsidRDefault="00111760" w:rsidP="00D42CC5">
      <w:pPr>
        <w:rPr>
          <w:lang w:val="el-GR"/>
        </w:rPr>
      </w:pPr>
      <w:r w:rsidRPr="00D42CC5">
        <w:rPr>
          <w:lang w:val="el-GR"/>
        </w:rPr>
        <w:t>ΗΝΩΜΕΝΟ ΒΑΣΙΛΕΙΟ</w:t>
      </w: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b/>
          <w:bCs/>
          <w:lang w:val="el-GR"/>
        </w:rPr>
      </w:pPr>
      <w:r w:rsidRPr="00A705F3">
        <w:rPr>
          <w:b/>
          <w:bCs/>
          <w:lang w:val="el-GR"/>
        </w:rPr>
        <w:t xml:space="preserve">Νομός </w:t>
      </w:r>
      <w:r>
        <w:rPr>
          <w:b/>
          <w:bCs/>
          <w:lang w:val="el-GR"/>
        </w:rPr>
        <w:t>Γρεβενών</w:t>
      </w:r>
    </w:p>
    <w:p w:rsidR="00111760" w:rsidRPr="00A705F3" w:rsidRDefault="00111760" w:rsidP="00905586">
      <w:pPr>
        <w:rPr>
          <w:b/>
          <w:bCs/>
          <w:lang w:val="el-GR"/>
        </w:rPr>
      </w:pPr>
    </w:p>
    <w:p w:rsidR="00111760" w:rsidRPr="00A705F3" w:rsidRDefault="00111760" w:rsidP="00905586">
      <w:pPr>
        <w:rPr>
          <w:b/>
          <w:bCs/>
          <w:lang w:val="el-GR"/>
        </w:rPr>
      </w:pPr>
    </w:p>
    <w:p w:rsidR="00111760" w:rsidRDefault="00111760" w:rsidP="00905586">
      <w:pPr>
        <w:rPr>
          <w:lang w:val="el-GR"/>
        </w:rPr>
      </w:pPr>
      <w:r w:rsidRPr="008636E7">
        <w:rPr>
          <w:lang w:val="el-GR"/>
        </w:rPr>
        <w:t xml:space="preserve">Οι κυριότεροι εξαγώγιμοι κλάδοι </w:t>
      </w:r>
      <w:r>
        <w:rPr>
          <w:lang w:val="el-GR"/>
        </w:rPr>
        <w:t>του νομού Γρεβενών κατά το 2013 ήταν:</w:t>
      </w: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Pr="00D00731" w:rsidRDefault="00111760" w:rsidP="00D00731">
      <w:pPr>
        <w:rPr>
          <w:lang w:val="el-GR"/>
        </w:rPr>
      </w:pPr>
      <w:r w:rsidRPr="00D00731">
        <w:rPr>
          <w:lang w:val="el-GR"/>
        </w:rPr>
        <w:t>Γαλακτοκομικά</w:t>
      </w:r>
    </w:p>
    <w:p w:rsidR="00111760" w:rsidRPr="00D00731" w:rsidRDefault="00111760" w:rsidP="00D00731">
      <w:pPr>
        <w:rPr>
          <w:lang w:val="el-GR"/>
        </w:rPr>
      </w:pPr>
      <w:r w:rsidRPr="00D00731">
        <w:rPr>
          <w:lang w:val="el-GR"/>
        </w:rPr>
        <w:t>Ξυλεία και τεχνουργήματα από ξύλο</w:t>
      </w:r>
    </w:p>
    <w:p w:rsidR="00111760" w:rsidRPr="00D00731" w:rsidRDefault="00111760" w:rsidP="00D00731">
      <w:pPr>
        <w:rPr>
          <w:lang w:val="el-GR"/>
        </w:rPr>
      </w:pPr>
      <w:r w:rsidRPr="00D00731">
        <w:rPr>
          <w:lang w:val="el-GR"/>
        </w:rPr>
        <w:t>Παρασκευάσματα με βάση τα δημητριακά</w:t>
      </w:r>
    </w:p>
    <w:p w:rsidR="00111760" w:rsidRPr="00D00731" w:rsidRDefault="00111760" w:rsidP="00D00731">
      <w:pPr>
        <w:rPr>
          <w:lang w:val="el-GR"/>
        </w:rPr>
      </w:pPr>
      <w:r w:rsidRPr="00D00731">
        <w:rPr>
          <w:lang w:val="el-GR"/>
        </w:rPr>
        <w:t>Καρποί και φρούτα νωπά</w:t>
      </w:r>
    </w:p>
    <w:p w:rsidR="00111760" w:rsidRPr="00D00731" w:rsidRDefault="00111760" w:rsidP="00D00731">
      <w:pPr>
        <w:rPr>
          <w:lang w:val="el-GR"/>
        </w:rPr>
      </w:pPr>
      <w:r w:rsidRPr="00D00731">
        <w:rPr>
          <w:lang w:val="el-GR"/>
        </w:rPr>
        <w:t>Γουνοδέρματα και γουναρικά.</w:t>
      </w: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Default="00111760" w:rsidP="00905586">
      <w:pPr>
        <w:rPr>
          <w:lang w:val="el-GR"/>
        </w:rPr>
      </w:pPr>
    </w:p>
    <w:p w:rsidR="00111760" w:rsidRDefault="00111760" w:rsidP="00D42CC5">
      <w:pPr>
        <w:jc w:val="both"/>
        <w:rPr>
          <w:lang w:val="el-GR"/>
        </w:rPr>
      </w:pPr>
      <w:r>
        <w:rPr>
          <w:lang w:val="el-GR"/>
        </w:rPr>
        <w:t>Οι κυριότερες χώρες προορισμού των προϊόντων του νομού Γρεβενών κατά το 2013 ήταν:</w:t>
      </w:r>
    </w:p>
    <w:p w:rsidR="00111760" w:rsidRDefault="00111760" w:rsidP="00D42CC5">
      <w:pPr>
        <w:jc w:val="both"/>
        <w:rPr>
          <w:lang w:val="el-GR"/>
        </w:rPr>
      </w:pPr>
    </w:p>
    <w:p w:rsidR="00111760" w:rsidRDefault="00111760" w:rsidP="00D42CC5">
      <w:pPr>
        <w:jc w:val="both"/>
        <w:rPr>
          <w:lang w:val="el-GR"/>
        </w:rPr>
      </w:pPr>
    </w:p>
    <w:p w:rsidR="00111760" w:rsidRPr="00D42CC5" w:rsidRDefault="00111760" w:rsidP="00D42CC5">
      <w:pPr>
        <w:rPr>
          <w:lang w:val="el-GR"/>
        </w:rPr>
      </w:pPr>
      <w:r w:rsidRPr="00D42CC5">
        <w:rPr>
          <w:lang w:val="el-GR"/>
        </w:rPr>
        <w:t>ΣΟΥΗΔΙΑ</w:t>
      </w:r>
    </w:p>
    <w:p w:rsidR="00111760" w:rsidRPr="00D42CC5" w:rsidRDefault="00111760" w:rsidP="00D42CC5">
      <w:pPr>
        <w:rPr>
          <w:lang w:val="el-GR"/>
        </w:rPr>
      </w:pPr>
      <w:r w:rsidRPr="00D42CC5">
        <w:rPr>
          <w:lang w:val="el-GR"/>
        </w:rPr>
        <w:t>ΓΕΡΜΑΝΙΑ</w:t>
      </w:r>
    </w:p>
    <w:p w:rsidR="00111760" w:rsidRPr="00D42CC5" w:rsidRDefault="00111760" w:rsidP="00D42CC5">
      <w:pPr>
        <w:rPr>
          <w:lang w:val="el-GR"/>
        </w:rPr>
      </w:pPr>
      <w:r w:rsidRPr="00D42CC5">
        <w:rPr>
          <w:lang w:val="el-GR"/>
        </w:rPr>
        <w:t>ΒΟΥΛΓΑΡΙΑ</w:t>
      </w:r>
    </w:p>
    <w:p w:rsidR="00111760" w:rsidRPr="00D42CC5" w:rsidRDefault="00111760" w:rsidP="00D42CC5">
      <w:pPr>
        <w:rPr>
          <w:lang w:val="el-GR"/>
        </w:rPr>
      </w:pPr>
      <w:r w:rsidRPr="00D42CC5">
        <w:rPr>
          <w:lang w:val="el-GR"/>
        </w:rPr>
        <w:t>ΗΝΩΜΕΝΟ ΒΑΣΙΛΕΙΟ</w:t>
      </w:r>
    </w:p>
    <w:p w:rsidR="00111760" w:rsidRPr="00D42CC5" w:rsidRDefault="00111760" w:rsidP="00D42CC5">
      <w:pPr>
        <w:rPr>
          <w:lang w:val="el-GR"/>
        </w:rPr>
      </w:pPr>
      <w:r w:rsidRPr="00D42CC5">
        <w:rPr>
          <w:lang w:val="el-GR"/>
        </w:rPr>
        <w:t>ΡΟΥΜΑΝΙΑ</w:t>
      </w:r>
    </w:p>
    <w:p w:rsidR="00111760" w:rsidRDefault="00111760" w:rsidP="00D42CC5">
      <w:pPr>
        <w:rPr>
          <w:lang w:val="el-GR"/>
        </w:rPr>
      </w:pPr>
      <w:r w:rsidRPr="00D42CC5">
        <w:rPr>
          <w:lang w:val="el-GR"/>
        </w:rPr>
        <w:t>ΙΤΑΛΙΑ</w:t>
      </w:r>
    </w:p>
    <w:p w:rsidR="00111760" w:rsidRDefault="00111760" w:rsidP="00D42CC5">
      <w:pPr>
        <w:rPr>
          <w:lang w:val="el-GR"/>
        </w:rPr>
      </w:pPr>
    </w:p>
    <w:p w:rsidR="00111760" w:rsidRDefault="00111760" w:rsidP="00D5391C">
      <w:pPr>
        <w:ind w:firstLine="720"/>
        <w:rPr>
          <w:lang w:val="el-GR"/>
        </w:rPr>
      </w:pPr>
    </w:p>
    <w:p w:rsidR="00111760" w:rsidRDefault="00111760" w:rsidP="00D5391C">
      <w:pPr>
        <w:ind w:firstLine="720"/>
        <w:rPr>
          <w:lang w:val="el-GR"/>
        </w:rPr>
      </w:pPr>
    </w:p>
    <w:p w:rsidR="00111760" w:rsidRDefault="00111760" w:rsidP="00D5391C">
      <w:pPr>
        <w:ind w:firstLine="720"/>
        <w:rPr>
          <w:lang w:val="el-GR"/>
        </w:rPr>
      </w:pPr>
    </w:p>
    <w:p w:rsidR="00111760" w:rsidRDefault="00111760" w:rsidP="00D5391C">
      <w:pPr>
        <w:ind w:firstLine="720"/>
        <w:rPr>
          <w:lang w:val="el-GR"/>
        </w:rPr>
      </w:pPr>
    </w:p>
    <w:p w:rsidR="00111760" w:rsidRDefault="00111760" w:rsidP="00D5391C">
      <w:pPr>
        <w:ind w:firstLine="720"/>
        <w:rPr>
          <w:lang w:val="el-GR"/>
        </w:rPr>
      </w:pPr>
      <w:r>
        <w:rPr>
          <w:lang w:val="el-GR"/>
        </w:rPr>
        <w:t xml:space="preserve"> </w:t>
      </w:r>
    </w:p>
    <w:p w:rsidR="00111760" w:rsidRDefault="00111760" w:rsidP="00D5391C">
      <w:pPr>
        <w:ind w:firstLine="720"/>
        <w:rPr>
          <w:lang w:val="el-GR"/>
        </w:rPr>
      </w:pPr>
    </w:p>
    <w:p w:rsidR="00111760" w:rsidRDefault="00111760" w:rsidP="00D5391C">
      <w:pPr>
        <w:ind w:firstLine="720"/>
        <w:rPr>
          <w:lang w:val="el-GR"/>
        </w:rPr>
      </w:pPr>
    </w:p>
    <w:p w:rsidR="00111760" w:rsidRDefault="00111760" w:rsidP="00D5391C">
      <w:pPr>
        <w:ind w:firstLine="720"/>
        <w:rPr>
          <w:lang w:val="el-GR"/>
        </w:rPr>
      </w:pPr>
      <w:r>
        <w:rPr>
          <w:lang w:val="el-GR"/>
        </w:rPr>
        <w:t>Κουτσής Δημήτριος</w:t>
      </w:r>
    </w:p>
    <w:p w:rsidR="00111760" w:rsidRDefault="00111760" w:rsidP="00D42CC5">
      <w:pPr>
        <w:rPr>
          <w:lang w:val="el-GR"/>
        </w:rPr>
      </w:pPr>
    </w:p>
    <w:p w:rsidR="00111760" w:rsidRDefault="00111760" w:rsidP="00D42CC5">
      <w:pPr>
        <w:rPr>
          <w:lang w:val="el-GR"/>
        </w:rPr>
      </w:pPr>
    </w:p>
    <w:p w:rsidR="00111760" w:rsidRPr="00D42CC5" w:rsidRDefault="00111760" w:rsidP="00D5391C">
      <w:pPr>
        <w:ind w:firstLine="720"/>
        <w:rPr>
          <w:lang w:val="el-GR"/>
        </w:rPr>
      </w:pPr>
      <w:r>
        <w:rPr>
          <w:lang w:val="el-GR"/>
        </w:rPr>
        <w:t>Γραμματέας Α΄ ΟΕΥ</w:t>
      </w:r>
    </w:p>
    <w:sectPr w:rsidR="00111760" w:rsidRPr="00D42CC5" w:rsidSect="007731E1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60" w:rsidRDefault="00111760" w:rsidP="00111760">
      <w:r>
        <w:separator/>
      </w:r>
    </w:p>
  </w:endnote>
  <w:endnote w:type="continuationSeparator" w:id="0">
    <w:p w:rsidR="00111760" w:rsidRDefault="00111760" w:rsidP="0011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60" w:rsidRDefault="00111760" w:rsidP="00294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760" w:rsidRDefault="00111760" w:rsidP="001531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60" w:rsidRDefault="00111760" w:rsidP="00294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11760" w:rsidRDefault="00111760" w:rsidP="001531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60" w:rsidRDefault="00111760" w:rsidP="00111760">
      <w:r>
        <w:separator/>
      </w:r>
    </w:p>
  </w:footnote>
  <w:footnote w:type="continuationSeparator" w:id="0">
    <w:p w:rsidR="00111760" w:rsidRDefault="00111760" w:rsidP="00111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51F"/>
    <w:rsid w:val="00001615"/>
    <w:rsid w:val="0000262A"/>
    <w:rsid w:val="00004E6F"/>
    <w:rsid w:val="0000640B"/>
    <w:rsid w:val="0000700B"/>
    <w:rsid w:val="00010582"/>
    <w:rsid w:val="000118A3"/>
    <w:rsid w:val="00011BC6"/>
    <w:rsid w:val="0001262D"/>
    <w:rsid w:val="00012C1A"/>
    <w:rsid w:val="00013222"/>
    <w:rsid w:val="00014461"/>
    <w:rsid w:val="00014898"/>
    <w:rsid w:val="00014BEF"/>
    <w:rsid w:val="00017180"/>
    <w:rsid w:val="00017A88"/>
    <w:rsid w:val="00017DB7"/>
    <w:rsid w:val="0002080A"/>
    <w:rsid w:val="00020A04"/>
    <w:rsid w:val="000215A5"/>
    <w:rsid w:val="00021BB5"/>
    <w:rsid w:val="00023A40"/>
    <w:rsid w:val="00023F3A"/>
    <w:rsid w:val="00025395"/>
    <w:rsid w:val="00026910"/>
    <w:rsid w:val="000273F6"/>
    <w:rsid w:val="000276B3"/>
    <w:rsid w:val="000300AD"/>
    <w:rsid w:val="00030468"/>
    <w:rsid w:val="000311FC"/>
    <w:rsid w:val="0003298C"/>
    <w:rsid w:val="00034E62"/>
    <w:rsid w:val="00036879"/>
    <w:rsid w:val="000369A5"/>
    <w:rsid w:val="00036CBB"/>
    <w:rsid w:val="00036E3E"/>
    <w:rsid w:val="00040AC7"/>
    <w:rsid w:val="00041DB6"/>
    <w:rsid w:val="000425A1"/>
    <w:rsid w:val="000425CD"/>
    <w:rsid w:val="00042DD0"/>
    <w:rsid w:val="00043D95"/>
    <w:rsid w:val="000446CC"/>
    <w:rsid w:val="00044F51"/>
    <w:rsid w:val="000451DC"/>
    <w:rsid w:val="000458E1"/>
    <w:rsid w:val="0004772D"/>
    <w:rsid w:val="00050A4E"/>
    <w:rsid w:val="00050E8B"/>
    <w:rsid w:val="000513F7"/>
    <w:rsid w:val="0005351C"/>
    <w:rsid w:val="00056BBD"/>
    <w:rsid w:val="000572A9"/>
    <w:rsid w:val="00057BC0"/>
    <w:rsid w:val="000604D2"/>
    <w:rsid w:val="000605DD"/>
    <w:rsid w:val="00060A6A"/>
    <w:rsid w:val="00060D26"/>
    <w:rsid w:val="00060E78"/>
    <w:rsid w:val="00061F40"/>
    <w:rsid w:val="000626B1"/>
    <w:rsid w:val="00063BD0"/>
    <w:rsid w:val="000647B4"/>
    <w:rsid w:val="000660B6"/>
    <w:rsid w:val="0006727F"/>
    <w:rsid w:val="00071FA1"/>
    <w:rsid w:val="00072EA1"/>
    <w:rsid w:val="000757CD"/>
    <w:rsid w:val="00075D4A"/>
    <w:rsid w:val="000769EB"/>
    <w:rsid w:val="00076CF5"/>
    <w:rsid w:val="00080CEF"/>
    <w:rsid w:val="0008294E"/>
    <w:rsid w:val="00082E50"/>
    <w:rsid w:val="000831B5"/>
    <w:rsid w:val="000833A1"/>
    <w:rsid w:val="0008413D"/>
    <w:rsid w:val="000842DE"/>
    <w:rsid w:val="00085414"/>
    <w:rsid w:val="000864F7"/>
    <w:rsid w:val="00086DF4"/>
    <w:rsid w:val="0008726F"/>
    <w:rsid w:val="00090900"/>
    <w:rsid w:val="00090DD2"/>
    <w:rsid w:val="00091226"/>
    <w:rsid w:val="00091350"/>
    <w:rsid w:val="0009158E"/>
    <w:rsid w:val="00092291"/>
    <w:rsid w:val="00093AFC"/>
    <w:rsid w:val="00094829"/>
    <w:rsid w:val="000956D8"/>
    <w:rsid w:val="000957AF"/>
    <w:rsid w:val="000968D7"/>
    <w:rsid w:val="000A0634"/>
    <w:rsid w:val="000A0ADD"/>
    <w:rsid w:val="000A13A0"/>
    <w:rsid w:val="000A18A6"/>
    <w:rsid w:val="000A271D"/>
    <w:rsid w:val="000A29C5"/>
    <w:rsid w:val="000A3902"/>
    <w:rsid w:val="000A3E72"/>
    <w:rsid w:val="000A450E"/>
    <w:rsid w:val="000A4C5F"/>
    <w:rsid w:val="000A4FFA"/>
    <w:rsid w:val="000A576B"/>
    <w:rsid w:val="000A673F"/>
    <w:rsid w:val="000B20A7"/>
    <w:rsid w:val="000B2DB8"/>
    <w:rsid w:val="000B5A63"/>
    <w:rsid w:val="000B6301"/>
    <w:rsid w:val="000B65B2"/>
    <w:rsid w:val="000C1FED"/>
    <w:rsid w:val="000C56BA"/>
    <w:rsid w:val="000C6854"/>
    <w:rsid w:val="000C713E"/>
    <w:rsid w:val="000C71AB"/>
    <w:rsid w:val="000C7571"/>
    <w:rsid w:val="000C7FF4"/>
    <w:rsid w:val="000D0736"/>
    <w:rsid w:val="000D0A68"/>
    <w:rsid w:val="000D10B9"/>
    <w:rsid w:val="000D2378"/>
    <w:rsid w:val="000D2B18"/>
    <w:rsid w:val="000D343C"/>
    <w:rsid w:val="000D413E"/>
    <w:rsid w:val="000D42CC"/>
    <w:rsid w:val="000D4F00"/>
    <w:rsid w:val="000D53F5"/>
    <w:rsid w:val="000D55B4"/>
    <w:rsid w:val="000D6C0B"/>
    <w:rsid w:val="000D6D3D"/>
    <w:rsid w:val="000D76FC"/>
    <w:rsid w:val="000D7EB8"/>
    <w:rsid w:val="000E141A"/>
    <w:rsid w:val="000E29D8"/>
    <w:rsid w:val="000E3A0E"/>
    <w:rsid w:val="000E43D4"/>
    <w:rsid w:val="000E4891"/>
    <w:rsid w:val="000E4FD1"/>
    <w:rsid w:val="000E518A"/>
    <w:rsid w:val="000E5BF0"/>
    <w:rsid w:val="000E5CE5"/>
    <w:rsid w:val="000E73DB"/>
    <w:rsid w:val="000F025B"/>
    <w:rsid w:val="000F03E4"/>
    <w:rsid w:val="000F0602"/>
    <w:rsid w:val="000F0749"/>
    <w:rsid w:val="000F0E30"/>
    <w:rsid w:val="000F1DB3"/>
    <w:rsid w:val="000F324A"/>
    <w:rsid w:val="000F43D2"/>
    <w:rsid w:val="000F55E7"/>
    <w:rsid w:val="000F569F"/>
    <w:rsid w:val="000F68B3"/>
    <w:rsid w:val="000F7EDE"/>
    <w:rsid w:val="001005B5"/>
    <w:rsid w:val="00100F71"/>
    <w:rsid w:val="00101B45"/>
    <w:rsid w:val="0010479C"/>
    <w:rsid w:val="0010483E"/>
    <w:rsid w:val="00104D5C"/>
    <w:rsid w:val="001066F6"/>
    <w:rsid w:val="0011009D"/>
    <w:rsid w:val="001107A7"/>
    <w:rsid w:val="00110B39"/>
    <w:rsid w:val="00111760"/>
    <w:rsid w:val="00111A9D"/>
    <w:rsid w:val="00113452"/>
    <w:rsid w:val="00115DFD"/>
    <w:rsid w:val="001166F3"/>
    <w:rsid w:val="00116C41"/>
    <w:rsid w:val="00116DE7"/>
    <w:rsid w:val="001176D4"/>
    <w:rsid w:val="00117750"/>
    <w:rsid w:val="00121812"/>
    <w:rsid w:val="00122FDA"/>
    <w:rsid w:val="001230F0"/>
    <w:rsid w:val="001235CC"/>
    <w:rsid w:val="00124C51"/>
    <w:rsid w:val="00124F92"/>
    <w:rsid w:val="00125485"/>
    <w:rsid w:val="00125C4B"/>
    <w:rsid w:val="00125CC2"/>
    <w:rsid w:val="00126A2D"/>
    <w:rsid w:val="00130675"/>
    <w:rsid w:val="001306F1"/>
    <w:rsid w:val="00133A15"/>
    <w:rsid w:val="001361DD"/>
    <w:rsid w:val="00140607"/>
    <w:rsid w:val="00142144"/>
    <w:rsid w:val="00142B59"/>
    <w:rsid w:val="001430A1"/>
    <w:rsid w:val="0014398E"/>
    <w:rsid w:val="001440A3"/>
    <w:rsid w:val="00144722"/>
    <w:rsid w:val="00145732"/>
    <w:rsid w:val="00146CCE"/>
    <w:rsid w:val="001471DA"/>
    <w:rsid w:val="001501D0"/>
    <w:rsid w:val="00151757"/>
    <w:rsid w:val="00152380"/>
    <w:rsid w:val="00153028"/>
    <w:rsid w:val="001531F8"/>
    <w:rsid w:val="001533FB"/>
    <w:rsid w:val="001539F2"/>
    <w:rsid w:val="00153B82"/>
    <w:rsid w:val="001545A5"/>
    <w:rsid w:val="00154CB7"/>
    <w:rsid w:val="0015504E"/>
    <w:rsid w:val="00155F62"/>
    <w:rsid w:val="00156D28"/>
    <w:rsid w:val="00157970"/>
    <w:rsid w:val="001609E5"/>
    <w:rsid w:val="001652AE"/>
    <w:rsid w:val="00165578"/>
    <w:rsid w:val="00165F1E"/>
    <w:rsid w:val="00166D5E"/>
    <w:rsid w:val="00167963"/>
    <w:rsid w:val="001701F1"/>
    <w:rsid w:val="001705E7"/>
    <w:rsid w:val="0017104E"/>
    <w:rsid w:val="00171454"/>
    <w:rsid w:val="00171A60"/>
    <w:rsid w:val="00171CA0"/>
    <w:rsid w:val="00171E78"/>
    <w:rsid w:val="00171F77"/>
    <w:rsid w:val="001725C8"/>
    <w:rsid w:val="001762EC"/>
    <w:rsid w:val="00176539"/>
    <w:rsid w:val="00176762"/>
    <w:rsid w:val="0017794B"/>
    <w:rsid w:val="00177E79"/>
    <w:rsid w:val="001801B9"/>
    <w:rsid w:val="0018267D"/>
    <w:rsid w:val="00184025"/>
    <w:rsid w:val="0018492F"/>
    <w:rsid w:val="001849BC"/>
    <w:rsid w:val="001852B8"/>
    <w:rsid w:val="00190122"/>
    <w:rsid w:val="00190623"/>
    <w:rsid w:val="00191AA7"/>
    <w:rsid w:val="00192BCC"/>
    <w:rsid w:val="00192D88"/>
    <w:rsid w:val="00193E7C"/>
    <w:rsid w:val="00195CB1"/>
    <w:rsid w:val="00195CCC"/>
    <w:rsid w:val="001A163B"/>
    <w:rsid w:val="001A16B7"/>
    <w:rsid w:val="001A17B5"/>
    <w:rsid w:val="001A2DB8"/>
    <w:rsid w:val="001A2ECE"/>
    <w:rsid w:val="001B1A44"/>
    <w:rsid w:val="001B2B8B"/>
    <w:rsid w:val="001B2EE0"/>
    <w:rsid w:val="001B3DE2"/>
    <w:rsid w:val="001B412D"/>
    <w:rsid w:val="001B4FC1"/>
    <w:rsid w:val="001B5DC1"/>
    <w:rsid w:val="001C0A84"/>
    <w:rsid w:val="001C1AD8"/>
    <w:rsid w:val="001C20AF"/>
    <w:rsid w:val="001C277A"/>
    <w:rsid w:val="001C27F1"/>
    <w:rsid w:val="001C2F67"/>
    <w:rsid w:val="001C3143"/>
    <w:rsid w:val="001C35AE"/>
    <w:rsid w:val="001D0E9D"/>
    <w:rsid w:val="001D1039"/>
    <w:rsid w:val="001D1E6D"/>
    <w:rsid w:val="001D293D"/>
    <w:rsid w:val="001D2D00"/>
    <w:rsid w:val="001D2F6D"/>
    <w:rsid w:val="001D2F70"/>
    <w:rsid w:val="001D4915"/>
    <w:rsid w:val="001D4E8D"/>
    <w:rsid w:val="001D6398"/>
    <w:rsid w:val="001D6CA0"/>
    <w:rsid w:val="001D6FC3"/>
    <w:rsid w:val="001D7AA1"/>
    <w:rsid w:val="001D7BD5"/>
    <w:rsid w:val="001E0223"/>
    <w:rsid w:val="001E1197"/>
    <w:rsid w:val="001E1343"/>
    <w:rsid w:val="001E1941"/>
    <w:rsid w:val="001E2C2D"/>
    <w:rsid w:val="001E2FE4"/>
    <w:rsid w:val="001E310A"/>
    <w:rsid w:val="001E330D"/>
    <w:rsid w:val="001E3364"/>
    <w:rsid w:val="001E33F6"/>
    <w:rsid w:val="001E4080"/>
    <w:rsid w:val="001E45A9"/>
    <w:rsid w:val="001E6279"/>
    <w:rsid w:val="001E72D4"/>
    <w:rsid w:val="001F10C4"/>
    <w:rsid w:val="001F236F"/>
    <w:rsid w:val="001F3384"/>
    <w:rsid w:val="001F34DE"/>
    <w:rsid w:val="001F545B"/>
    <w:rsid w:val="001F5D38"/>
    <w:rsid w:val="001F5FD3"/>
    <w:rsid w:val="001F6112"/>
    <w:rsid w:val="001F7B2D"/>
    <w:rsid w:val="00201703"/>
    <w:rsid w:val="00201D20"/>
    <w:rsid w:val="0020260A"/>
    <w:rsid w:val="00202702"/>
    <w:rsid w:val="00202AC1"/>
    <w:rsid w:val="00202CC8"/>
    <w:rsid w:val="002037D7"/>
    <w:rsid w:val="00204556"/>
    <w:rsid w:val="00206842"/>
    <w:rsid w:val="002068FD"/>
    <w:rsid w:val="00206BAB"/>
    <w:rsid w:val="0020749A"/>
    <w:rsid w:val="0021028C"/>
    <w:rsid w:val="0021103E"/>
    <w:rsid w:val="00211B37"/>
    <w:rsid w:val="00214536"/>
    <w:rsid w:val="002153B9"/>
    <w:rsid w:val="00215F59"/>
    <w:rsid w:val="0021677D"/>
    <w:rsid w:val="00216B56"/>
    <w:rsid w:val="00217796"/>
    <w:rsid w:val="0022036B"/>
    <w:rsid w:val="002225A5"/>
    <w:rsid w:val="00223B5D"/>
    <w:rsid w:val="002240A8"/>
    <w:rsid w:val="00224475"/>
    <w:rsid w:val="00225581"/>
    <w:rsid w:val="0022594F"/>
    <w:rsid w:val="00226C63"/>
    <w:rsid w:val="00226F06"/>
    <w:rsid w:val="002275A5"/>
    <w:rsid w:val="0023179A"/>
    <w:rsid w:val="002317FC"/>
    <w:rsid w:val="002325B6"/>
    <w:rsid w:val="0023389B"/>
    <w:rsid w:val="00235BBD"/>
    <w:rsid w:val="00236CFE"/>
    <w:rsid w:val="0024065C"/>
    <w:rsid w:val="00241AFA"/>
    <w:rsid w:val="00242D57"/>
    <w:rsid w:val="00243AEA"/>
    <w:rsid w:val="00247B4F"/>
    <w:rsid w:val="002509E6"/>
    <w:rsid w:val="00252834"/>
    <w:rsid w:val="00252BDC"/>
    <w:rsid w:val="002543F9"/>
    <w:rsid w:val="002549ED"/>
    <w:rsid w:val="0026136D"/>
    <w:rsid w:val="00261EAA"/>
    <w:rsid w:val="00262051"/>
    <w:rsid w:val="00262777"/>
    <w:rsid w:val="00262DFF"/>
    <w:rsid w:val="00263F22"/>
    <w:rsid w:val="00264BAB"/>
    <w:rsid w:val="002651B0"/>
    <w:rsid w:val="00265386"/>
    <w:rsid w:val="002704A3"/>
    <w:rsid w:val="002709EB"/>
    <w:rsid w:val="00271DE2"/>
    <w:rsid w:val="00272259"/>
    <w:rsid w:val="0027286E"/>
    <w:rsid w:val="00274F1F"/>
    <w:rsid w:val="00275442"/>
    <w:rsid w:val="002779C4"/>
    <w:rsid w:val="00277DB0"/>
    <w:rsid w:val="002804EC"/>
    <w:rsid w:val="00280F6E"/>
    <w:rsid w:val="00281A6A"/>
    <w:rsid w:val="00282352"/>
    <w:rsid w:val="00284B5B"/>
    <w:rsid w:val="00284D30"/>
    <w:rsid w:val="00284D9E"/>
    <w:rsid w:val="00284DDF"/>
    <w:rsid w:val="00285D8F"/>
    <w:rsid w:val="00286101"/>
    <w:rsid w:val="00286D30"/>
    <w:rsid w:val="002874FA"/>
    <w:rsid w:val="00287867"/>
    <w:rsid w:val="0029209E"/>
    <w:rsid w:val="00294A6C"/>
    <w:rsid w:val="00294BF2"/>
    <w:rsid w:val="00294C23"/>
    <w:rsid w:val="00295C20"/>
    <w:rsid w:val="002A002B"/>
    <w:rsid w:val="002A0B27"/>
    <w:rsid w:val="002A219A"/>
    <w:rsid w:val="002A21E6"/>
    <w:rsid w:val="002A26EF"/>
    <w:rsid w:val="002A29E3"/>
    <w:rsid w:val="002A46A4"/>
    <w:rsid w:val="002A4EEC"/>
    <w:rsid w:val="002A5A6D"/>
    <w:rsid w:val="002A5CD8"/>
    <w:rsid w:val="002A696B"/>
    <w:rsid w:val="002A6FC9"/>
    <w:rsid w:val="002B0761"/>
    <w:rsid w:val="002B1C09"/>
    <w:rsid w:val="002B3781"/>
    <w:rsid w:val="002B47B4"/>
    <w:rsid w:val="002B5550"/>
    <w:rsid w:val="002B58D8"/>
    <w:rsid w:val="002B619E"/>
    <w:rsid w:val="002B7262"/>
    <w:rsid w:val="002B7EB7"/>
    <w:rsid w:val="002C0942"/>
    <w:rsid w:val="002C13B2"/>
    <w:rsid w:val="002C19B2"/>
    <w:rsid w:val="002C23DC"/>
    <w:rsid w:val="002C3F08"/>
    <w:rsid w:val="002C428B"/>
    <w:rsid w:val="002C539E"/>
    <w:rsid w:val="002C5758"/>
    <w:rsid w:val="002C6E65"/>
    <w:rsid w:val="002C7822"/>
    <w:rsid w:val="002D1182"/>
    <w:rsid w:val="002D1FDF"/>
    <w:rsid w:val="002D2827"/>
    <w:rsid w:val="002D295D"/>
    <w:rsid w:val="002D31DD"/>
    <w:rsid w:val="002D532A"/>
    <w:rsid w:val="002D6112"/>
    <w:rsid w:val="002D624A"/>
    <w:rsid w:val="002E0168"/>
    <w:rsid w:val="002E19D7"/>
    <w:rsid w:val="002E2105"/>
    <w:rsid w:val="002E2774"/>
    <w:rsid w:val="002E27EA"/>
    <w:rsid w:val="002E3D73"/>
    <w:rsid w:val="002E425F"/>
    <w:rsid w:val="002E437D"/>
    <w:rsid w:val="002E5659"/>
    <w:rsid w:val="002E5A7C"/>
    <w:rsid w:val="002E5C27"/>
    <w:rsid w:val="002E649D"/>
    <w:rsid w:val="002E7302"/>
    <w:rsid w:val="002E77AF"/>
    <w:rsid w:val="002F0AA9"/>
    <w:rsid w:val="002F171E"/>
    <w:rsid w:val="002F205F"/>
    <w:rsid w:val="002F4617"/>
    <w:rsid w:val="002F5AE0"/>
    <w:rsid w:val="002F7020"/>
    <w:rsid w:val="002F7B20"/>
    <w:rsid w:val="0030064D"/>
    <w:rsid w:val="00300F21"/>
    <w:rsid w:val="00300FA1"/>
    <w:rsid w:val="00301C32"/>
    <w:rsid w:val="00303177"/>
    <w:rsid w:val="00303DD5"/>
    <w:rsid w:val="003042E5"/>
    <w:rsid w:val="00304613"/>
    <w:rsid w:val="00304F04"/>
    <w:rsid w:val="003054E9"/>
    <w:rsid w:val="00306700"/>
    <w:rsid w:val="00310487"/>
    <w:rsid w:val="0031203B"/>
    <w:rsid w:val="00313B3C"/>
    <w:rsid w:val="003146BD"/>
    <w:rsid w:val="00314FD0"/>
    <w:rsid w:val="0031721C"/>
    <w:rsid w:val="003208B0"/>
    <w:rsid w:val="003208DA"/>
    <w:rsid w:val="0032146A"/>
    <w:rsid w:val="003224BA"/>
    <w:rsid w:val="003228FC"/>
    <w:rsid w:val="00323426"/>
    <w:rsid w:val="00323F80"/>
    <w:rsid w:val="0032475D"/>
    <w:rsid w:val="0032495C"/>
    <w:rsid w:val="003260FB"/>
    <w:rsid w:val="003263F4"/>
    <w:rsid w:val="00326592"/>
    <w:rsid w:val="00326F2A"/>
    <w:rsid w:val="0033049F"/>
    <w:rsid w:val="00331C86"/>
    <w:rsid w:val="00332BEB"/>
    <w:rsid w:val="00333289"/>
    <w:rsid w:val="0033335F"/>
    <w:rsid w:val="00333599"/>
    <w:rsid w:val="003335D6"/>
    <w:rsid w:val="00341E3A"/>
    <w:rsid w:val="00342B9C"/>
    <w:rsid w:val="003432BB"/>
    <w:rsid w:val="00345201"/>
    <w:rsid w:val="0034538D"/>
    <w:rsid w:val="003458AD"/>
    <w:rsid w:val="003462E3"/>
    <w:rsid w:val="00347878"/>
    <w:rsid w:val="00347A4A"/>
    <w:rsid w:val="003510A4"/>
    <w:rsid w:val="003514D1"/>
    <w:rsid w:val="00351DAB"/>
    <w:rsid w:val="003525AB"/>
    <w:rsid w:val="003541EF"/>
    <w:rsid w:val="003543B6"/>
    <w:rsid w:val="003547EA"/>
    <w:rsid w:val="00355797"/>
    <w:rsid w:val="00355E13"/>
    <w:rsid w:val="00357D27"/>
    <w:rsid w:val="0036083C"/>
    <w:rsid w:val="00361184"/>
    <w:rsid w:val="0036218A"/>
    <w:rsid w:val="00362E1D"/>
    <w:rsid w:val="00363866"/>
    <w:rsid w:val="00365058"/>
    <w:rsid w:val="003653B0"/>
    <w:rsid w:val="00367120"/>
    <w:rsid w:val="00370EDD"/>
    <w:rsid w:val="003713B1"/>
    <w:rsid w:val="003726B9"/>
    <w:rsid w:val="00374000"/>
    <w:rsid w:val="00374CCD"/>
    <w:rsid w:val="00375788"/>
    <w:rsid w:val="0037593D"/>
    <w:rsid w:val="00375A5F"/>
    <w:rsid w:val="00375A6D"/>
    <w:rsid w:val="00377F9D"/>
    <w:rsid w:val="003809B0"/>
    <w:rsid w:val="003811D3"/>
    <w:rsid w:val="0038151F"/>
    <w:rsid w:val="00381BE6"/>
    <w:rsid w:val="00381ED8"/>
    <w:rsid w:val="00382852"/>
    <w:rsid w:val="00384ED9"/>
    <w:rsid w:val="003867C9"/>
    <w:rsid w:val="00386D6D"/>
    <w:rsid w:val="003906B3"/>
    <w:rsid w:val="0039160F"/>
    <w:rsid w:val="0039178E"/>
    <w:rsid w:val="00392196"/>
    <w:rsid w:val="00392C84"/>
    <w:rsid w:val="00392D0B"/>
    <w:rsid w:val="003A01F9"/>
    <w:rsid w:val="003A0A1D"/>
    <w:rsid w:val="003A0AC5"/>
    <w:rsid w:val="003A0B77"/>
    <w:rsid w:val="003A0C67"/>
    <w:rsid w:val="003A1242"/>
    <w:rsid w:val="003A1631"/>
    <w:rsid w:val="003A1C8A"/>
    <w:rsid w:val="003A3874"/>
    <w:rsid w:val="003A3AA4"/>
    <w:rsid w:val="003A3E8E"/>
    <w:rsid w:val="003A40B1"/>
    <w:rsid w:val="003A4110"/>
    <w:rsid w:val="003A46FC"/>
    <w:rsid w:val="003A4922"/>
    <w:rsid w:val="003A4F0B"/>
    <w:rsid w:val="003A549B"/>
    <w:rsid w:val="003A5955"/>
    <w:rsid w:val="003A5BA9"/>
    <w:rsid w:val="003A5C0F"/>
    <w:rsid w:val="003A5D8C"/>
    <w:rsid w:val="003A637C"/>
    <w:rsid w:val="003A6546"/>
    <w:rsid w:val="003A6753"/>
    <w:rsid w:val="003A6974"/>
    <w:rsid w:val="003A6DD2"/>
    <w:rsid w:val="003B0132"/>
    <w:rsid w:val="003B0715"/>
    <w:rsid w:val="003B211A"/>
    <w:rsid w:val="003B23CC"/>
    <w:rsid w:val="003B3A0D"/>
    <w:rsid w:val="003B3BF0"/>
    <w:rsid w:val="003B47BF"/>
    <w:rsid w:val="003B5F41"/>
    <w:rsid w:val="003B7CE4"/>
    <w:rsid w:val="003C0084"/>
    <w:rsid w:val="003C08D5"/>
    <w:rsid w:val="003C249A"/>
    <w:rsid w:val="003C44A9"/>
    <w:rsid w:val="003C451C"/>
    <w:rsid w:val="003C4E99"/>
    <w:rsid w:val="003C604F"/>
    <w:rsid w:val="003C6663"/>
    <w:rsid w:val="003C72B1"/>
    <w:rsid w:val="003D0B26"/>
    <w:rsid w:val="003D10EA"/>
    <w:rsid w:val="003D1668"/>
    <w:rsid w:val="003D3B6D"/>
    <w:rsid w:val="003D3E87"/>
    <w:rsid w:val="003D46BB"/>
    <w:rsid w:val="003D586A"/>
    <w:rsid w:val="003D5B0F"/>
    <w:rsid w:val="003D5CC4"/>
    <w:rsid w:val="003D6427"/>
    <w:rsid w:val="003D7B47"/>
    <w:rsid w:val="003D7CAE"/>
    <w:rsid w:val="003E0390"/>
    <w:rsid w:val="003E0A15"/>
    <w:rsid w:val="003E138A"/>
    <w:rsid w:val="003E1515"/>
    <w:rsid w:val="003E1D2F"/>
    <w:rsid w:val="003E242B"/>
    <w:rsid w:val="003E2587"/>
    <w:rsid w:val="003E2FA6"/>
    <w:rsid w:val="003E3F2A"/>
    <w:rsid w:val="003E448B"/>
    <w:rsid w:val="003E4D86"/>
    <w:rsid w:val="003E5B13"/>
    <w:rsid w:val="003E6C7D"/>
    <w:rsid w:val="003E7796"/>
    <w:rsid w:val="003F076A"/>
    <w:rsid w:val="003F1C53"/>
    <w:rsid w:val="003F1C87"/>
    <w:rsid w:val="003F20F8"/>
    <w:rsid w:val="003F5C67"/>
    <w:rsid w:val="003F62B1"/>
    <w:rsid w:val="003F63BC"/>
    <w:rsid w:val="003F6473"/>
    <w:rsid w:val="003F7E8C"/>
    <w:rsid w:val="0040085E"/>
    <w:rsid w:val="004008FE"/>
    <w:rsid w:val="00401882"/>
    <w:rsid w:val="004027F6"/>
    <w:rsid w:val="00403412"/>
    <w:rsid w:val="0040421C"/>
    <w:rsid w:val="00404A84"/>
    <w:rsid w:val="00405175"/>
    <w:rsid w:val="0040553C"/>
    <w:rsid w:val="0040582A"/>
    <w:rsid w:val="00405844"/>
    <w:rsid w:val="00406A72"/>
    <w:rsid w:val="004075FA"/>
    <w:rsid w:val="00410032"/>
    <w:rsid w:val="00410CAA"/>
    <w:rsid w:val="00411456"/>
    <w:rsid w:val="004125BB"/>
    <w:rsid w:val="0041353F"/>
    <w:rsid w:val="004137DE"/>
    <w:rsid w:val="00414422"/>
    <w:rsid w:val="00415438"/>
    <w:rsid w:val="00415463"/>
    <w:rsid w:val="004158CA"/>
    <w:rsid w:val="004168E8"/>
    <w:rsid w:val="004200F8"/>
    <w:rsid w:val="00420CC2"/>
    <w:rsid w:val="004212D6"/>
    <w:rsid w:val="00421622"/>
    <w:rsid w:val="00422C8C"/>
    <w:rsid w:val="004237EB"/>
    <w:rsid w:val="00424C34"/>
    <w:rsid w:val="004254AD"/>
    <w:rsid w:val="0042572D"/>
    <w:rsid w:val="0042598F"/>
    <w:rsid w:val="00426430"/>
    <w:rsid w:val="004271FA"/>
    <w:rsid w:val="0042777D"/>
    <w:rsid w:val="00427DA0"/>
    <w:rsid w:val="0043092D"/>
    <w:rsid w:val="0043223E"/>
    <w:rsid w:val="00432A73"/>
    <w:rsid w:val="00433323"/>
    <w:rsid w:val="00434573"/>
    <w:rsid w:val="004348E5"/>
    <w:rsid w:val="004349BB"/>
    <w:rsid w:val="004378A7"/>
    <w:rsid w:val="00437D5B"/>
    <w:rsid w:val="004401FE"/>
    <w:rsid w:val="00441B0F"/>
    <w:rsid w:val="00441C11"/>
    <w:rsid w:val="004435BB"/>
    <w:rsid w:val="004442EA"/>
    <w:rsid w:val="0044437D"/>
    <w:rsid w:val="00446D7B"/>
    <w:rsid w:val="0044772A"/>
    <w:rsid w:val="004505AF"/>
    <w:rsid w:val="00450F15"/>
    <w:rsid w:val="00452B16"/>
    <w:rsid w:val="00452E5C"/>
    <w:rsid w:val="004533DF"/>
    <w:rsid w:val="004535D7"/>
    <w:rsid w:val="004558E3"/>
    <w:rsid w:val="0045640A"/>
    <w:rsid w:val="00456770"/>
    <w:rsid w:val="00456B86"/>
    <w:rsid w:val="00457F56"/>
    <w:rsid w:val="0046077E"/>
    <w:rsid w:val="00460DFD"/>
    <w:rsid w:val="004612B7"/>
    <w:rsid w:val="004617A1"/>
    <w:rsid w:val="0046240A"/>
    <w:rsid w:val="00462813"/>
    <w:rsid w:val="00463617"/>
    <w:rsid w:val="00463DB7"/>
    <w:rsid w:val="00465305"/>
    <w:rsid w:val="00466E37"/>
    <w:rsid w:val="00467CD7"/>
    <w:rsid w:val="00470471"/>
    <w:rsid w:val="004716B3"/>
    <w:rsid w:val="004716FC"/>
    <w:rsid w:val="00472664"/>
    <w:rsid w:val="00476965"/>
    <w:rsid w:val="00476D2B"/>
    <w:rsid w:val="0047702F"/>
    <w:rsid w:val="004773D2"/>
    <w:rsid w:val="00480DD1"/>
    <w:rsid w:val="004854A9"/>
    <w:rsid w:val="00486926"/>
    <w:rsid w:val="00486B97"/>
    <w:rsid w:val="00486E47"/>
    <w:rsid w:val="004903B8"/>
    <w:rsid w:val="00491C48"/>
    <w:rsid w:val="004948E2"/>
    <w:rsid w:val="00494D2A"/>
    <w:rsid w:val="00495788"/>
    <w:rsid w:val="00496090"/>
    <w:rsid w:val="0049753E"/>
    <w:rsid w:val="004A1F3C"/>
    <w:rsid w:val="004A3244"/>
    <w:rsid w:val="004A38F8"/>
    <w:rsid w:val="004A452E"/>
    <w:rsid w:val="004A498B"/>
    <w:rsid w:val="004A5F6E"/>
    <w:rsid w:val="004A6051"/>
    <w:rsid w:val="004B0152"/>
    <w:rsid w:val="004B020B"/>
    <w:rsid w:val="004B0235"/>
    <w:rsid w:val="004B1914"/>
    <w:rsid w:val="004B1C78"/>
    <w:rsid w:val="004B3747"/>
    <w:rsid w:val="004B379A"/>
    <w:rsid w:val="004B3996"/>
    <w:rsid w:val="004B3CFD"/>
    <w:rsid w:val="004B4A1E"/>
    <w:rsid w:val="004B5301"/>
    <w:rsid w:val="004B5FB0"/>
    <w:rsid w:val="004B6106"/>
    <w:rsid w:val="004B7DD1"/>
    <w:rsid w:val="004C0580"/>
    <w:rsid w:val="004C0CF0"/>
    <w:rsid w:val="004C3A73"/>
    <w:rsid w:val="004C3B56"/>
    <w:rsid w:val="004C4BCD"/>
    <w:rsid w:val="004C50F7"/>
    <w:rsid w:val="004C57D5"/>
    <w:rsid w:val="004C62D5"/>
    <w:rsid w:val="004C71C4"/>
    <w:rsid w:val="004D0126"/>
    <w:rsid w:val="004D0575"/>
    <w:rsid w:val="004D430F"/>
    <w:rsid w:val="004D4568"/>
    <w:rsid w:val="004D5247"/>
    <w:rsid w:val="004D61F0"/>
    <w:rsid w:val="004D662D"/>
    <w:rsid w:val="004E54E7"/>
    <w:rsid w:val="004E7584"/>
    <w:rsid w:val="004E7C27"/>
    <w:rsid w:val="004F0C31"/>
    <w:rsid w:val="004F18E6"/>
    <w:rsid w:val="004F2016"/>
    <w:rsid w:val="004F2238"/>
    <w:rsid w:val="004F258E"/>
    <w:rsid w:val="004F307E"/>
    <w:rsid w:val="004F3EF7"/>
    <w:rsid w:val="004F4684"/>
    <w:rsid w:val="004F6605"/>
    <w:rsid w:val="004F7ABD"/>
    <w:rsid w:val="004F7B20"/>
    <w:rsid w:val="005000A3"/>
    <w:rsid w:val="0050035A"/>
    <w:rsid w:val="005009FC"/>
    <w:rsid w:val="00501703"/>
    <w:rsid w:val="00501F35"/>
    <w:rsid w:val="00502590"/>
    <w:rsid w:val="00502C13"/>
    <w:rsid w:val="00502C4D"/>
    <w:rsid w:val="005031C1"/>
    <w:rsid w:val="00504325"/>
    <w:rsid w:val="005049F8"/>
    <w:rsid w:val="00506A1B"/>
    <w:rsid w:val="005071CD"/>
    <w:rsid w:val="005109CB"/>
    <w:rsid w:val="00510A2B"/>
    <w:rsid w:val="0051129E"/>
    <w:rsid w:val="005123BC"/>
    <w:rsid w:val="00513900"/>
    <w:rsid w:val="00514E69"/>
    <w:rsid w:val="00516628"/>
    <w:rsid w:val="00516A40"/>
    <w:rsid w:val="0051798B"/>
    <w:rsid w:val="00517B7F"/>
    <w:rsid w:val="00517F1C"/>
    <w:rsid w:val="0052008C"/>
    <w:rsid w:val="0052041D"/>
    <w:rsid w:val="0052058F"/>
    <w:rsid w:val="00521198"/>
    <w:rsid w:val="00521445"/>
    <w:rsid w:val="00521C26"/>
    <w:rsid w:val="00521FBB"/>
    <w:rsid w:val="00523012"/>
    <w:rsid w:val="00523476"/>
    <w:rsid w:val="00525EC4"/>
    <w:rsid w:val="005263C8"/>
    <w:rsid w:val="00527232"/>
    <w:rsid w:val="0053176C"/>
    <w:rsid w:val="00532D9F"/>
    <w:rsid w:val="00534B6A"/>
    <w:rsid w:val="00535552"/>
    <w:rsid w:val="00535601"/>
    <w:rsid w:val="00536628"/>
    <w:rsid w:val="00536C3D"/>
    <w:rsid w:val="0053714B"/>
    <w:rsid w:val="00537664"/>
    <w:rsid w:val="0054219F"/>
    <w:rsid w:val="00542D80"/>
    <w:rsid w:val="00543D52"/>
    <w:rsid w:val="00547788"/>
    <w:rsid w:val="00547A14"/>
    <w:rsid w:val="0055192F"/>
    <w:rsid w:val="005521C2"/>
    <w:rsid w:val="0055227A"/>
    <w:rsid w:val="0055236C"/>
    <w:rsid w:val="00553578"/>
    <w:rsid w:val="005538AC"/>
    <w:rsid w:val="00553FA1"/>
    <w:rsid w:val="00554BF1"/>
    <w:rsid w:val="00555016"/>
    <w:rsid w:val="00555BDC"/>
    <w:rsid w:val="00555F41"/>
    <w:rsid w:val="00563137"/>
    <w:rsid w:val="00563A60"/>
    <w:rsid w:val="00564FA9"/>
    <w:rsid w:val="00565171"/>
    <w:rsid w:val="005653C7"/>
    <w:rsid w:val="00565956"/>
    <w:rsid w:val="00566BA3"/>
    <w:rsid w:val="00570873"/>
    <w:rsid w:val="0057112D"/>
    <w:rsid w:val="0057150A"/>
    <w:rsid w:val="00573680"/>
    <w:rsid w:val="00575442"/>
    <w:rsid w:val="00576322"/>
    <w:rsid w:val="00577C00"/>
    <w:rsid w:val="00581284"/>
    <w:rsid w:val="00582B37"/>
    <w:rsid w:val="00582BD7"/>
    <w:rsid w:val="00583C88"/>
    <w:rsid w:val="00583CB2"/>
    <w:rsid w:val="00584CC9"/>
    <w:rsid w:val="00585F83"/>
    <w:rsid w:val="00591D95"/>
    <w:rsid w:val="0059281A"/>
    <w:rsid w:val="00594206"/>
    <w:rsid w:val="00594938"/>
    <w:rsid w:val="005955AC"/>
    <w:rsid w:val="00596270"/>
    <w:rsid w:val="0059721A"/>
    <w:rsid w:val="005A0F42"/>
    <w:rsid w:val="005A1011"/>
    <w:rsid w:val="005A13C6"/>
    <w:rsid w:val="005A1B30"/>
    <w:rsid w:val="005A2784"/>
    <w:rsid w:val="005A27CD"/>
    <w:rsid w:val="005A2891"/>
    <w:rsid w:val="005A3873"/>
    <w:rsid w:val="005A4B31"/>
    <w:rsid w:val="005A59CF"/>
    <w:rsid w:val="005A6094"/>
    <w:rsid w:val="005A6B5F"/>
    <w:rsid w:val="005A7F7D"/>
    <w:rsid w:val="005B0232"/>
    <w:rsid w:val="005B149B"/>
    <w:rsid w:val="005B293B"/>
    <w:rsid w:val="005B36C0"/>
    <w:rsid w:val="005B4592"/>
    <w:rsid w:val="005B4BDC"/>
    <w:rsid w:val="005B5ED1"/>
    <w:rsid w:val="005C09AC"/>
    <w:rsid w:val="005C0DF1"/>
    <w:rsid w:val="005C1C10"/>
    <w:rsid w:val="005C1C4B"/>
    <w:rsid w:val="005C1CC9"/>
    <w:rsid w:val="005C29F8"/>
    <w:rsid w:val="005C47AB"/>
    <w:rsid w:val="005C60F8"/>
    <w:rsid w:val="005C74A3"/>
    <w:rsid w:val="005C7A89"/>
    <w:rsid w:val="005D0AD6"/>
    <w:rsid w:val="005D2038"/>
    <w:rsid w:val="005D2A27"/>
    <w:rsid w:val="005D2FE8"/>
    <w:rsid w:val="005D35A3"/>
    <w:rsid w:val="005D369F"/>
    <w:rsid w:val="005D48E0"/>
    <w:rsid w:val="005D58C3"/>
    <w:rsid w:val="005D6FA4"/>
    <w:rsid w:val="005D74BF"/>
    <w:rsid w:val="005E0351"/>
    <w:rsid w:val="005E0766"/>
    <w:rsid w:val="005E1672"/>
    <w:rsid w:val="005E1A27"/>
    <w:rsid w:val="005E1B94"/>
    <w:rsid w:val="005E527F"/>
    <w:rsid w:val="005E5774"/>
    <w:rsid w:val="005E583E"/>
    <w:rsid w:val="005E5CBA"/>
    <w:rsid w:val="005E61CD"/>
    <w:rsid w:val="005E6953"/>
    <w:rsid w:val="005E75B6"/>
    <w:rsid w:val="005E76D2"/>
    <w:rsid w:val="005F3412"/>
    <w:rsid w:val="005F40BC"/>
    <w:rsid w:val="005F45EE"/>
    <w:rsid w:val="005F56DA"/>
    <w:rsid w:val="005F5C89"/>
    <w:rsid w:val="005F5E76"/>
    <w:rsid w:val="005F5F8E"/>
    <w:rsid w:val="005F665F"/>
    <w:rsid w:val="005F754F"/>
    <w:rsid w:val="005F775D"/>
    <w:rsid w:val="006009F0"/>
    <w:rsid w:val="00600A76"/>
    <w:rsid w:val="00600CD6"/>
    <w:rsid w:val="00601874"/>
    <w:rsid w:val="00601A63"/>
    <w:rsid w:val="00601D62"/>
    <w:rsid w:val="006021D7"/>
    <w:rsid w:val="0060257E"/>
    <w:rsid w:val="00603D44"/>
    <w:rsid w:val="00604322"/>
    <w:rsid w:val="00605FC8"/>
    <w:rsid w:val="00606EE2"/>
    <w:rsid w:val="00607D1E"/>
    <w:rsid w:val="00607E5B"/>
    <w:rsid w:val="00610A93"/>
    <w:rsid w:val="00611047"/>
    <w:rsid w:val="00612252"/>
    <w:rsid w:val="006128FD"/>
    <w:rsid w:val="0061332E"/>
    <w:rsid w:val="006133EB"/>
    <w:rsid w:val="006138CA"/>
    <w:rsid w:val="006159D4"/>
    <w:rsid w:val="006168E9"/>
    <w:rsid w:val="00616E0F"/>
    <w:rsid w:val="00616EC2"/>
    <w:rsid w:val="0061792B"/>
    <w:rsid w:val="00620553"/>
    <w:rsid w:val="0062100E"/>
    <w:rsid w:val="00621ACF"/>
    <w:rsid w:val="00623410"/>
    <w:rsid w:val="0062358A"/>
    <w:rsid w:val="0062401F"/>
    <w:rsid w:val="006248FC"/>
    <w:rsid w:val="006250DE"/>
    <w:rsid w:val="0062525B"/>
    <w:rsid w:val="0062756B"/>
    <w:rsid w:val="00627ED3"/>
    <w:rsid w:val="006309C1"/>
    <w:rsid w:val="00631391"/>
    <w:rsid w:val="00632EE4"/>
    <w:rsid w:val="00633022"/>
    <w:rsid w:val="00633A77"/>
    <w:rsid w:val="0063538F"/>
    <w:rsid w:val="00635B77"/>
    <w:rsid w:val="0063611F"/>
    <w:rsid w:val="00636135"/>
    <w:rsid w:val="006364B5"/>
    <w:rsid w:val="00636555"/>
    <w:rsid w:val="006367F5"/>
    <w:rsid w:val="00636F3C"/>
    <w:rsid w:val="00637012"/>
    <w:rsid w:val="00640976"/>
    <w:rsid w:val="00640A2D"/>
    <w:rsid w:val="00641374"/>
    <w:rsid w:val="00642F1D"/>
    <w:rsid w:val="0064449E"/>
    <w:rsid w:val="00645718"/>
    <w:rsid w:val="006467F6"/>
    <w:rsid w:val="006505CB"/>
    <w:rsid w:val="00650BC2"/>
    <w:rsid w:val="00651EC0"/>
    <w:rsid w:val="00651FE0"/>
    <w:rsid w:val="00653C2F"/>
    <w:rsid w:val="00653E81"/>
    <w:rsid w:val="00654D4D"/>
    <w:rsid w:val="006555D2"/>
    <w:rsid w:val="00655FDB"/>
    <w:rsid w:val="006565D3"/>
    <w:rsid w:val="00657823"/>
    <w:rsid w:val="00660383"/>
    <w:rsid w:val="006603F4"/>
    <w:rsid w:val="006604DC"/>
    <w:rsid w:val="00660EA5"/>
    <w:rsid w:val="006618C5"/>
    <w:rsid w:val="00662885"/>
    <w:rsid w:val="00663150"/>
    <w:rsid w:val="006634BB"/>
    <w:rsid w:val="00663B97"/>
    <w:rsid w:val="00664207"/>
    <w:rsid w:val="00666660"/>
    <w:rsid w:val="00666FE0"/>
    <w:rsid w:val="006671B6"/>
    <w:rsid w:val="0066721B"/>
    <w:rsid w:val="00670646"/>
    <w:rsid w:val="00670A71"/>
    <w:rsid w:val="00671880"/>
    <w:rsid w:val="00671D98"/>
    <w:rsid w:val="00671F56"/>
    <w:rsid w:val="00673737"/>
    <w:rsid w:val="006737C4"/>
    <w:rsid w:val="006741B7"/>
    <w:rsid w:val="00674A0C"/>
    <w:rsid w:val="0067522C"/>
    <w:rsid w:val="00682746"/>
    <w:rsid w:val="00682B13"/>
    <w:rsid w:val="0068409C"/>
    <w:rsid w:val="00684452"/>
    <w:rsid w:val="00685619"/>
    <w:rsid w:val="00686943"/>
    <w:rsid w:val="00686E06"/>
    <w:rsid w:val="0068781F"/>
    <w:rsid w:val="0069095C"/>
    <w:rsid w:val="0069100F"/>
    <w:rsid w:val="0069185C"/>
    <w:rsid w:val="00694339"/>
    <w:rsid w:val="006A1788"/>
    <w:rsid w:val="006A5073"/>
    <w:rsid w:val="006A532F"/>
    <w:rsid w:val="006A611C"/>
    <w:rsid w:val="006A6603"/>
    <w:rsid w:val="006A6BFF"/>
    <w:rsid w:val="006A739A"/>
    <w:rsid w:val="006B1032"/>
    <w:rsid w:val="006B2A5C"/>
    <w:rsid w:val="006B2E97"/>
    <w:rsid w:val="006B3D16"/>
    <w:rsid w:val="006B4298"/>
    <w:rsid w:val="006B4D26"/>
    <w:rsid w:val="006B5B88"/>
    <w:rsid w:val="006B6E88"/>
    <w:rsid w:val="006B7DD6"/>
    <w:rsid w:val="006C0170"/>
    <w:rsid w:val="006C0448"/>
    <w:rsid w:val="006C086D"/>
    <w:rsid w:val="006C16B3"/>
    <w:rsid w:val="006C1D14"/>
    <w:rsid w:val="006C3C0A"/>
    <w:rsid w:val="006C3DE0"/>
    <w:rsid w:val="006C4EE2"/>
    <w:rsid w:val="006C5131"/>
    <w:rsid w:val="006C557E"/>
    <w:rsid w:val="006C5B78"/>
    <w:rsid w:val="006C5C57"/>
    <w:rsid w:val="006C6188"/>
    <w:rsid w:val="006C63ED"/>
    <w:rsid w:val="006C69C5"/>
    <w:rsid w:val="006C6EFC"/>
    <w:rsid w:val="006C7669"/>
    <w:rsid w:val="006C7987"/>
    <w:rsid w:val="006D0694"/>
    <w:rsid w:val="006D1757"/>
    <w:rsid w:val="006D1BC0"/>
    <w:rsid w:val="006D1C2A"/>
    <w:rsid w:val="006D26C9"/>
    <w:rsid w:val="006D3E6D"/>
    <w:rsid w:val="006D3FA3"/>
    <w:rsid w:val="006D57A3"/>
    <w:rsid w:val="006D7433"/>
    <w:rsid w:val="006E00CE"/>
    <w:rsid w:val="006E0596"/>
    <w:rsid w:val="006E135D"/>
    <w:rsid w:val="006E25D8"/>
    <w:rsid w:val="006E4EE3"/>
    <w:rsid w:val="006E52A3"/>
    <w:rsid w:val="006E5553"/>
    <w:rsid w:val="006E56C2"/>
    <w:rsid w:val="006E5CFB"/>
    <w:rsid w:val="006E5F12"/>
    <w:rsid w:val="006E6605"/>
    <w:rsid w:val="006E7324"/>
    <w:rsid w:val="006E76DF"/>
    <w:rsid w:val="006F004A"/>
    <w:rsid w:val="006F04F0"/>
    <w:rsid w:val="006F1E32"/>
    <w:rsid w:val="006F1FB9"/>
    <w:rsid w:val="006F227E"/>
    <w:rsid w:val="006F372D"/>
    <w:rsid w:val="006F3973"/>
    <w:rsid w:val="006F3C39"/>
    <w:rsid w:val="007017CC"/>
    <w:rsid w:val="00701D0C"/>
    <w:rsid w:val="007022F1"/>
    <w:rsid w:val="00702D8C"/>
    <w:rsid w:val="0070394B"/>
    <w:rsid w:val="00703EFF"/>
    <w:rsid w:val="0070453E"/>
    <w:rsid w:val="0070480C"/>
    <w:rsid w:val="00704CEB"/>
    <w:rsid w:val="0070624E"/>
    <w:rsid w:val="00706D37"/>
    <w:rsid w:val="00706F58"/>
    <w:rsid w:val="00707772"/>
    <w:rsid w:val="00712694"/>
    <w:rsid w:val="007128AA"/>
    <w:rsid w:val="00712EAB"/>
    <w:rsid w:val="00713076"/>
    <w:rsid w:val="00715B44"/>
    <w:rsid w:val="0071790E"/>
    <w:rsid w:val="0072272E"/>
    <w:rsid w:val="00722814"/>
    <w:rsid w:val="00722AE0"/>
    <w:rsid w:val="00722ECA"/>
    <w:rsid w:val="0072368C"/>
    <w:rsid w:val="00723E43"/>
    <w:rsid w:val="007244E0"/>
    <w:rsid w:val="0072509E"/>
    <w:rsid w:val="00727A79"/>
    <w:rsid w:val="00730C6E"/>
    <w:rsid w:val="00731D0B"/>
    <w:rsid w:val="00731F21"/>
    <w:rsid w:val="007344EC"/>
    <w:rsid w:val="007352A7"/>
    <w:rsid w:val="00735760"/>
    <w:rsid w:val="007368CA"/>
    <w:rsid w:val="00736A7A"/>
    <w:rsid w:val="0073784E"/>
    <w:rsid w:val="00740DB5"/>
    <w:rsid w:val="00740EA7"/>
    <w:rsid w:val="00740FEE"/>
    <w:rsid w:val="00741149"/>
    <w:rsid w:val="007433F0"/>
    <w:rsid w:val="007438D7"/>
    <w:rsid w:val="00743DD1"/>
    <w:rsid w:val="00745102"/>
    <w:rsid w:val="00745385"/>
    <w:rsid w:val="007462E6"/>
    <w:rsid w:val="007468FF"/>
    <w:rsid w:val="007477A0"/>
    <w:rsid w:val="007521CB"/>
    <w:rsid w:val="00752ED7"/>
    <w:rsid w:val="00753FF2"/>
    <w:rsid w:val="00754CEB"/>
    <w:rsid w:val="00756101"/>
    <w:rsid w:val="0076023E"/>
    <w:rsid w:val="0076238D"/>
    <w:rsid w:val="00763C27"/>
    <w:rsid w:val="00764E76"/>
    <w:rsid w:val="007655A4"/>
    <w:rsid w:val="007664BC"/>
    <w:rsid w:val="00767389"/>
    <w:rsid w:val="00767478"/>
    <w:rsid w:val="007679E8"/>
    <w:rsid w:val="00770283"/>
    <w:rsid w:val="00771DB6"/>
    <w:rsid w:val="00772404"/>
    <w:rsid w:val="007731E1"/>
    <w:rsid w:val="0077360A"/>
    <w:rsid w:val="007737E6"/>
    <w:rsid w:val="00773BD3"/>
    <w:rsid w:val="00773E0E"/>
    <w:rsid w:val="00774FA0"/>
    <w:rsid w:val="0077652B"/>
    <w:rsid w:val="00776E71"/>
    <w:rsid w:val="00777DEC"/>
    <w:rsid w:val="00777E6F"/>
    <w:rsid w:val="00780202"/>
    <w:rsid w:val="00781A25"/>
    <w:rsid w:val="00782E56"/>
    <w:rsid w:val="00782F57"/>
    <w:rsid w:val="007835E4"/>
    <w:rsid w:val="00784F30"/>
    <w:rsid w:val="00785A8C"/>
    <w:rsid w:val="00786DEF"/>
    <w:rsid w:val="00786EE0"/>
    <w:rsid w:val="007870C5"/>
    <w:rsid w:val="007871C1"/>
    <w:rsid w:val="00791693"/>
    <w:rsid w:val="00791CE7"/>
    <w:rsid w:val="007927AE"/>
    <w:rsid w:val="007931A0"/>
    <w:rsid w:val="00793807"/>
    <w:rsid w:val="00794081"/>
    <w:rsid w:val="00795A3F"/>
    <w:rsid w:val="007967DF"/>
    <w:rsid w:val="0079707F"/>
    <w:rsid w:val="00797C8C"/>
    <w:rsid w:val="00797F02"/>
    <w:rsid w:val="007A0A23"/>
    <w:rsid w:val="007A0A61"/>
    <w:rsid w:val="007A1100"/>
    <w:rsid w:val="007A23B4"/>
    <w:rsid w:val="007A2669"/>
    <w:rsid w:val="007A3030"/>
    <w:rsid w:val="007A31D6"/>
    <w:rsid w:val="007A6977"/>
    <w:rsid w:val="007B0901"/>
    <w:rsid w:val="007B43F6"/>
    <w:rsid w:val="007B4574"/>
    <w:rsid w:val="007C153F"/>
    <w:rsid w:val="007C1784"/>
    <w:rsid w:val="007C2201"/>
    <w:rsid w:val="007C29FA"/>
    <w:rsid w:val="007C3D41"/>
    <w:rsid w:val="007C40F5"/>
    <w:rsid w:val="007C464A"/>
    <w:rsid w:val="007C48C7"/>
    <w:rsid w:val="007C4FAE"/>
    <w:rsid w:val="007C5FD8"/>
    <w:rsid w:val="007C76AD"/>
    <w:rsid w:val="007C7F13"/>
    <w:rsid w:val="007C7F5C"/>
    <w:rsid w:val="007D0BC9"/>
    <w:rsid w:val="007D4585"/>
    <w:rsid w:val="007D51E3"/>
    <w:rsid w:val="007D533E"/>
    <w:rsid w:val="007D5381"/>
    <w:rsid w:val="007D53FB"/>
    <w:rsid w:val="007D573A"/>
    <w:rsid w:val="007D5D98"/>
    <w:rsid w:val="007D6641"/>
    <w:rsid w:val="007D693A"/>
    <w:rsid w:val="007E00D3"/>
    <w:rsid w:val="007E07E8"/>
    <w:rsid w:val="007E2961"/>
    <w:rsid w:val="007E4279"/>
    <w:rsid w:val="007E49CA"/>
    <w:rsid w:val="007E61B7"/>
    <w:rsid w:val="007E69AC"/>
    <w:rsid w:val="007E69B4"/>
    <w:rsid w:val="007E719F"/>
    <w:rsid w:val="007E7256"/>
    <w:rsid w:val="007E7E7D"/>
    <w:rsid w:val="007F0B4C"/>
    <w:rsid w:val="007F157E"/>
    <w:rsid w:val="007F1F77"/>
    <w:rsid w:val="007F2F9E"/>
    <w:rsid w:val="007F3795"/>
    <w:rsid w:val="007F464E"/>
    <w:rsid w:val="007F4F60"/>
    <w:rsid w:val="007F4FE6"/>
    <w:rsid w:val="007F54CC"/>
    <w:rsid w:val="007F5BEF"/>
    <w:rsid w:val="007F668D"/>
    <w:rsid w:val="00800214"/>
    <w:rsid w:val="0080112E"/>
    <w:rsid w:val="0080307B"/>
    <w:rsid w:val="008050DE"/>
    <w:rsid w:val="00805113"/>
    <w:rsid w:val="0080528E"/>
    <w:rsid w:val="00805BF0"/>
    <w:rsid w:val="0080782E"/>
    <w:rsid w:val="00807AD8"/>
    <w:rsid w:val="00810783"/>
    <w:rsid w:val="0081209A"/>
    <w:rsid w:val="0081221B"/>
    <w:rsid w:val="00812ED8"/>
    <w:rsid w:val="008137DB"/>
    <w:rsid w:val="00813D0E"/>
    <w:rsid w:val="00814220"/>
    <w:rsid w:val="0081485C"/>
    <w:rsid w:val="00814BFE"/>
    <w:rsid w:val="00814E33"/>
    <w:rsid w:val="00815671"/>
    <w:rsid w:val="0082084F"/>
    <w:rsid w:val="0082085D"/>
    <w:rsid w:val="00821357"/>
    <w:rsid w:val="008225A2"/>
    <w:rsid w:val="00824132"/>
    <w:rsid w:val="008241B5"/>
    <w:rsid w:val="008250A1"/>
    <w:rsid w:val="00825C2D"/>
    <w:rsid w:val="00825D92"/>
    <w:rsid w:val="00826087"/>
    <w:rsid w:val="00826426"/>
    <w:rsid w:val="008268B9"/>
    <w:rsid w:val="00827F1B"/>
    <w:rsid w:val="00831FBF"/>
    <w:rsid w:val="00832D04"/>
    <w:rsid w:val="008334BE"/>
    <w:rsid w:val="00833923"/>
    <w:rsid w:val="00834670"/>
    <w:rsid w:val="00834C0D"/>
    <w:rsid w:val="00835172"/>
    <w:rsid w:val="0083728B"/>
    <w:rsid w:val="00837976"/>
    <w:rsid w:val="00837AFB"/>
    <w:rsid w:val="00837F45"/>
    <w:rsid w:val="008403D0"/>
    <w:rsid w:val="00840577"/>
    <w:rsid w:val="00840E3F"/>
    <w:rsid w:val="00841496"/>
    <w:rsid w:val="008415E9"/>
    <w:rsid w:val="008422A1"/>
    <w:rsid w:val="008437D7"/>
    <w:rsid w:val="00843BE0"/>
    <w:rsid w:val="00843D8A"/>
    <w:rsid w:val="008463D2"/>
    <w:rsid w:val="00847A7C"/>
    <w:rsid w:val="00847D39"/>
    <w:rsid w:val="008519EF"/>
    <w:rsid w:val="00852633"/>
    <w:rsid w:val="0085324C"/>
    <w:rsid w:val="00853501"/>
    <w:rsid w:val="00853C30"/>
    <w:rsid w:val="00853FA9"/>
    <w:rsid w:val="0085406F"/>
    <w:rsid w:val="00856C92"/>
    <w:rsid w:val="008573A7"/>
    <w:rsid w:val="008578E6"/>
    <w:rsid w:val="00857B8A"/>
    <w:rsid w:val="00860109"/>
    <w:rsid w:val="00860932"/>
    <w:rsid w:val="008610A6"/>
    <w:rsid w:val="00861A92"/>
    <w:rsid w:val="00861AD6"/>
    <w:rsid w:val="00862228"/>
    <w:rsid w:val="008636E7"/>
    <w:rsid w:val="00864C99"/>
    <w:rsid w:val="008676B4"/>
    <w:rsid w:val="00870651"/>
    <w:rsid w:val="00871A30"/>
    <w:rsid w:val="0087389A"/>
    <w:rsid w:val="00874AAF"/>
    <w:rsid w:val="00874E7A"/>
    <w:rsid w:val="00876AB6"/>
    <w:rsid w:val="00877243"/>
    <w:rsid w:val="00880101"/>
    <w:rsid w:val="008805A5"/>
    <w:rsid w:val="00882740"/>
    <w:rsid w:val="00883D68"/>
    <w:rsid w:val="00884F94"/>
    <w:rsid w:val="00885FF8"/>
    <w:rsid w:val="00886C5E"/>
    <w:rsid w:val="008876EB"/>
    <w:rsid w:val="008877E7"/>
    <w:rsid w:val="00891181"/>
    <w:rsid w:val="00892BCD"/>
    <w:rsid w:val="0089335B"/>
    <w:rsid w:val="00893E35"/>
    <w:rsid w:val="00893EDF"/>
    <w:rsid w:val="00894874"/>
    <w:rsid w:val="00895C15"/>
    <w:rsid w:val="008971AC"/>
    <w:rsid w:val="00897FE9"/>
    <w:rsid w:val="008A0885"/>
    <w:rsid w:val="008A0E70"/>
    <w:rsid w:val="008A14A0"/>
    <w:rsid w:val="008A1F43"/>
    <w:rsid w:val="008A23FA"/>
    <w:rsid w:val="008A25F6"/>
    <w:rsid w:val="008A3A3D"/>
    <w:rsid w:val="008A4A30"/>
    <w:rsid w:val="008A515F"/>
    <w:rsid w:val="008A5399"/>
    <w:rsid w:val="008A58E5"/>
    <w:rsid w:val="008A6347"/>
    <w:rsid w:val="008A6C21"/>
    <w:rsid w:val="008A7C9B"/>
    <w:rsid w:val="008B1268"/>
    <w:rsid w:val="008B2F20"/>
    <w:rsid w:val="008B371E"/>
    <w:rsid w:val="008B37FF"/>
    <w:rsid w:val="008B41D5"/>
    <w:rsid w:val="008B56FA"/>
    <w:rsid w:val="008B629D"/>
    <w:rsid w:val="008C23EF"/>
    <w:rsid w:val="008C40BA"/>
    <w:rsid w:val="008C4492"/>
    <w:rsid w:val="008C44C9"/>
    <w:rsid w:val="008C659D"/>
    <w:rsid w:val="008C72A0"/>
    <w:rsid w:val="008C760D"/>
    <w:rsid w:val="008C7CC8"/>
    <w:rsid w:val="008D006A"/>
    <w:rsid w:val="008D057F"/>
    <w:rsid w:val="008D0B42"/>
    <w:rsid w:val="008D1170"/>
    <w:rsid w:val="008D16F1"/>
    <w:rsid w:val="008D23DF"/>
    <w:rsid w:val="008D25BA"/>
    <w:rsid w:val="008D4169"/>
    <w:rsid w:val="008D6C83"/>
    <w:rsid w:val="008D79AF"/>
    <w:rsid w:val="008E0C66"/>
    <w:rsid w:val="008E18D5"/>
    <w:rsid w:val="008E18F8"/>
    <w:rsid w:val="008E3AF3"/>
    <w:rsid w:val="008E4E3E"/>
    <w:rsid w:val="008E604A"/>
    <w:rsid w:val="008E626F"/>
    <w:rsid w:val="008E6C72"/>
    <w:rsid w:val="008E787D"/>
    <w:rsid w:val="008E7FC5"/>
    <w:rsid w:val="008F07D4"/>
    <w:rsid w:val="008F09FA"/>
    <w:rsid w:val="008F1FFF"/>
    <w:rsid w:val="008F2360"/>
    <w:rsid w:val="008F2384"/>
    <w:rsid w:val="008F2498"/>
    <w:rsid w:val="008F34FB"/>
    <w:rsid w:val="008F4C04"/>
    <w:rsid w:val="008F6A79"/>
    <w:rsid w:val="009005B2"/>
    <w:rsid w:val="00900F07"/>
    <w:rsid w:val="00900F8E"/>
    <w:rsid w:val="009041A8"/>
    <w:rsid w:val="0090465C"/>
    <w:rsid w:val="00904DFA"/>
    <w:rsid w:val="00904E41"/>
    <w:rsid w:val="00905586"/>
    <w:rsid w:val="00905A25"/>
    <w:rsid w:val="009065F7"/>
    <w:rsid w:val="0091106B"/>
    <w:rsid w:val="009116C6"/>
    <w:rsid w:val="00911AC2"/>
    <w:rsid w:val="00911AFD"/>
    <w:rsid w:val="0091222D"/>
    <w:rsid w:val="00912837"/>
    <w:rsid w:val="00913572"/>
    <w:rsid w:val="00913D80"/>
    <w:rsid w:val="00914A65"/>
    <w:rsid w:val="00914EBF"/>
    <w:rsid w:val="0091633D"/>
    <w:rsid w:val="00917185"/>
    <w:rsid w:val="009175AD"/>
    <w:rsid w:val="00917C08"/>
    <w:rsid w:val="009220C6"/>
    <w:rsid w:val="009234E4"/>
    <w:rsid w:val="0092356B"/>
    <w:rsid w:val="00923911"/>
    <w:rsid w:val="00923D46"/>
    <w:rsid w:val="009240F7"/>
    <w:rsid w:val="009242EF"/>
    <w:rsid w:val="009255A1"/>
    <w:rsid w:val="00925CAA"/>
    <w:rsid w:val="00926CA5"/>
    <w:rsid w:val="0092723F"/>
    <w:rsid w:val="00930589"/>
    <w:rsid w:val="00930908"/>
    <w:rsid w:val="00930C8A"/>
    <w:rsid w:val="00932094"/>
    <w:rsid w:val="00932143"/>
    <w:rsid w:val="009336BD"/>
    <w:rsid w:val="00934359"/>
    <w:rsid w:val="00935C74"/>
    <w:rsid w:val="009360A2"/>
    <w:rsid w:val="009361A7"/>
    <w:rsid w:val="00936CE7"/>
    <w:rsid w:val="0094097C"/>
    <w:rsid w:val="00942BE3"/>
    <w:rsid w:val="00942EA4"/>
    <w:rsid w:val="00944CC0"/>
    <w:rsid w:val="00945308"/>
    <w:rsid w:val="00946C25"/>
    <w:rsid w:val="009470A1"/>
    <w:rsid w:val="009475EF"/>
    <w:rsid w:val="00947C82"/>
    <w:rsid w:val="00950CB1"/>
    <w:rsid w:val="00952240"/>
    <w:rsid w:val="009530A4"/>
    <w:rsid w:val="00953F26"/>
    <w:rsid w:val="00954D0D"/>
    <w:rsid w:val="0095504F"/>
    <w:rsid w:val="00956328"/>
    <w:rsid w:val="00956DAA"/>
    <w:rsid w:val="00957529"/>
    <w:rsid w:val="009604D2"/>
    <w:rsid w:val="00960C19"/>
    <w:rsid w:val="00960D4D"/>
    <w:rsid w:val="009610D8"/>
    <w:rsid w:val="009614B5"/>
    <w:rsid w:val="00963768"/>
    <w:rsid w:val="009661C7"/>
    <w:rsid w:val="00966780"/>
    <w:rsid w:val="00967374"/>
    <w:rsid w:val="00967FD2"/>
    <w:rsid w:val="0097070C"/>
    <w:rsid w:val="009709A3"/>
    <w:rsid w:val="00970ADD"/>
    <w:rsid w:val="00970BCD"/>
    <w:rsid w:val="00970DF1"/>
    <w:rsid w:val="00971470"/>
    <w:rsid w:val="00971F39"/>
    <w:rsid w:val="009748E3"/>
    <w:rsid w:val="00975DAF"/>
    <w:rsid w:val="00977420"/>
    <w:rsid w:val="00977EE7"/>
    <w:rsid w:val="009806DB"/>
    <w:rsid w:val="0098073E"/>
    <w:rsid w:val="00981AC9"/>
    <w:rsid w:val="009850C6"/>
    <w:rsid w:val="009859DE"/>
    <w:rsid w:val="00986803"/>
    <w:rsid w:val="00986808"/>
    <w:rsid w:val="0098694A"/>
    <w:rsid w:val="009879EF"/>
    <w:rsid w:val="009901AE"/>
    <w:rsid w:val="00990F7E"/>
    <w:rsid w:val="00991673"/>
    <w:rsid w:val="00991966"/>
    <w:rsid w:val="00991B90"/>
    <w:rsid w:val="00992457"/>
    <w:rsid w:val="00992DE5"/>
    <w:rsid w:val="00992F62"/>
    <w:rsid w:val="009932FB"/>
    <w:rsid w:val="0099373C"/>
    <w:rsid w:val="0099376B"/>
    <w:rsid w:val="00995810"/>
    <w:rsid w:val="009969F3"/>
    <w:rsid w:val="00997988"/>
    <w:rsid w:val="009A13AE"/>
    <w:rsid w:val="009A199B"/>
    <w:rsid w:val="009A3419"/>
    <w:rsid w:val="009A3998"/>
    <w:rsid w:val="009A3BAB"/>
    <w:rsid w:val="009A3C10"/>
    <w:rsid w:val="009A4474"/>
    <w:rsid w:val="009A52C9"/>
    <w:rsid w:val="009A6226"/>
    <w:rsid w:val="009A6D0C"/>
    <w:rsid w:val="009A6F16"/>
    <w:rsid w:val="009A6FBF"/>
    <w:rsid w:val="009A7482"/>
    <w:rsid w:val="009A7F5D"/>
    <w:rsid w:val="009B02CE"/>
    <w:rsid w:val="009B06B1"/>
    <w:rsid w:val="009B0C77"/>
    <w:rsid w:val="009B0D46"/>
    <w:rsid w:val="009B3EB0"/>
    <w:rsid w:val="009B48C3"/>
    <w:rsid w:val="009B4993"/>
    <w:rsid w:val="009B6551"/>
    <w:rsid w:val="009B6B48"/>
    <w:rsid w:val="009B6FE3"/>
    <w:rsid w:val="009B7576"/>
    <w:rsid w:val="009C12CA"/>
    <w:rsid w:val="009C1BCA"/>
    <w:rsid w:val="009C2D7C"/>
    <w:rsid w:val="009C3005"/>
    <w:rsid w:val="009C4A98"/>
    <w:rsid w:val="009C5809"/>
    <w:rsid w:val="009C5E5A"/>
    <w:rsid w:val="009C636F"/>
    <w:rsid w:val="009C6F8C"/>
    <w:rsid w:val="009D00C9"/>
    <w:rsid w:val="009D02AC"/>
    <w:rsid w:val="009D06AA"/>
    <w:rsid w:val="009D0C07"/>
    <w:rsid w:val="009D14DC"/>
    <w:rsid w:val="009D2C62"/>
    <w:rsid w:val="009D58B1"/>
    <w:rsid w:val="009D5B2A"/>
    <w:rsid w:val="009E16E7"/>
    <w:rsid w:val="009E4293"/>
    <w:rsid w:val="009E4733"/>
    <w:rsid w:val="009E66ED"/>
    <w:rsid w:val="009F0A24"/>
    <w:rsid w:val="009F0DFB"/>
    <w:rsid w:val="009F276E"/>
    <w:rsid w:val="009F295D"/>
    <w:rsid w:val="009F2BE2"/>
    <w:rsid w:val="009F3EEC"/>
    <w:rsid w:val="009F44C0"/>
    <w:rsid w:val="009F4DB9"/>
    <w:rsid w:val="009F4EB0"/>
    <w:rsid w:val="009F551F"/>
    <w:rsid w:val="009F571B"/>
    <w:rsid w:val="009F5E95"/>
    <w:rsid w:val="009F72BD"/>
    <w:rsid w:val="009F7836"/>
    <w:rsid w:val="009F78D9"/>
    <w:rsid w:val="009F7F16"/>
    <w:rsid w:val="00A00A48"/>
    <w:rsid w:val="00A010AA"/>
    <w:rsid w:val="00A016D0"/>
    <w:rsid w:val="00A033CA"/>
    <w:rsid w:val="00A03C1B"/>
    <w:rsid w:val="00A03CF9"/>
    <w:rsid w:val="00A050FA"/>
    <w:rsid w:val="00A05A58"/>
    <w:rsid w:val="00A06703"/>
    <w:rsid w:val="00A068C3"/>
    <w:rsid w:val="00A07CF8"/>
    <w:rsid w:val="00A1217A"/>
    <w:rsid w:val="00A1270C"/>
    <w:rsid w:val="00A1321A"/>
    <w:rsid w:val="00A13834"/>
    <w:rsid w:val="00A14478"/>
    <w:rsid w:val="00A14B0B"/>
    <w:rsid w:val="00A14F95"/>
    <w:rsid w:val="00A150B0"/>
    <w:rsid w:val="00A15480"/>
    <w:rsid w:val="00A160A4"/>
    <w:rsid w:val="00A1670D"/>
    <w:rsid w:val="00A17440"/>
    <w:rsid w:val="00A17661"/>
    <w:rsid w:val="00A201AF"/>
    <w:rsid w:val="00A20B49"/>
    <w:rsid w:val="00A2191A"/>
    <w:rsid w:val="00A21AFF"/>
    <w:rsid w:val="00A22822"/>
    <w:rsid w:val="00A22907"/>
    <w:rsid w:val="00A238D5"/>
    <w:rsid w:val="00A2450C"/>
    <w:rsid w:val="00A24D92"/>
    <w:rsid w:val="00A256C7"/>
    <w:rsid w:val="00A25E2A"/>
    <w:rsid w:val="00A26C72"/>
    <w:rsid w:val="00A26F8F"/>
    <w:rsid w:val="00A27F4E"/>
    <w:rsid w:val="00A302BB"/>
    <w:rsid w:val="00A30895"/>
    <w:rsid w:val="00A31E9E"/>
    <w:rsid w:val="00A32653"/>
    <w:rsid w:val="00A32AA5"/>
    <w:rsid w:val="00A33A0B"/>
    <w:rsid w:val="00A33ADC"/>
    <w:rsid w:val="00A347B0"/>
    <w:rsid w:val="00A37B9E"/>
    <w:rsid w:val="00A40196"/>
    <w:rsid w:val="00A40504"/>
    <w:rsid w:val="00A40E19"/>
    <w:rsid w:val="00A40ECF"/>
    <w:rsid w:val="00A4244A"/>
    <w:rsid w:val="00A42770"/>
    <w:rsid w:val="00A42B7E"/>
    <w:rsid w:val="00A437ED"/>
    <w:rsid w:val="00A45230"/>
    <w:rsid w:val="00A453CF"/>
    <w:rsid w:val="00A46FD5"/>
    <w:rsid w:val="00A50604"/>
    <w:rsid w:val="00A5179B"/>
    <w:rsid w:val="00A51D45"/>
    <w:rsid w:val="00A53353"/>
    <w:rsid w:val="00A5423E"/>
    <w:rsid w:val="00A561BF"/>
    <w:rsid w:val="00A565F5"/>
    <w:rsid w:val="00A56B96"/>
    <w:rsid w:val="00A60DB2"/>
    <w:rsid w:val="00A629DE"/>
    <w:rsid w:val="00A64392"/>
    <w:rsid w:val="00A644EA"/>
    <w:rsid w:val="00A64A9D"/>
    <w:rsid w:val="00A705F3"/>
    <w:rsid w:val="00A70644"/>
    <w:rsid w:val="00A7186B"/>
    <w:rsid w:val="00A72BF6"/>
    <w:rsid w:val="00A72E9A"/>
    <w:rsid w:val="00A74448"/>
    <w:rsid w:val="00A750C4"/>
    <w:rsid w:val="00A768E0"/>
    <w:rsid w:val="00A76EC8"/>
    <w:rsid w:val="00A77E96"/>
    <w:rsid w:val="00A77FCD"/>
    <w:rsid w:val="00A809CD"/>
    <w:rsid w:val="00A811DE"/>
    <w:rsid w:val="00A812DE"/>
    <w:rsid w:val="00A81455"/>
    <w:rsid w:val="00A83FE7"/>
    <w:rsid w:val="00A84770"/>
    <w:rsid w:val="00A85C3F"/>
    <w:rsid w:val="00A86254"/>
    <w:rsid w:val="00A86BA7"/>
    <w:rsid w:val="00A86CDC"/>
    <w:rsid w:val="00A86CFD"/>
    <w:rsid w:val="00A870AD"/>
    <w:rsid w:val="00A870ED"/>
    <w:rsid w:val="00A87215"/>
    <w:rsid w:val="00A8762E"/>
    <w:rsid w:val="00A90508"/>
    <w:rsid w:val="00A907B0"/>
    <w:rsid w:val="00A90BC6"/>
    <w:rsid w:val="00A90D3B"/>
    <w:rsid w:val="00A914C7"/>
    <w:rsid w:val="00A93619"/>
    <w:rsid w:val="00A93FB4"/>
    <w:rsid w:val="00A94DA9"/>
    <w:rsid w:val="00A953B1"/>
    <w:rsid w:val="00A9580E"/>
    <w:rsid w:val="00A95AFC"/>
    <w:rsid w:val="00A95EDA"/>
    <w:rsid w:val="00A96C1D"/>
    <w:rsid w:val="00A97378"/>
    <w:rsid w:val="00AA03C0"/>
    <w:rsid w:val="00AA0BDF"/>
    <w:rsid w:val="00AA16B9"/>
    <w:rsid w:val="00AA2C70"/>
    <w:rsid w:val="00AA2DF6"/>
    <w:rsid w:val="00AA2F73"/>
    <w:rsid w:val="00AA3EE7"/>
    <w:rsid w:val="00AA4BE1"/>
    <w:rsid w:val="00AA4FFA"/>
    <w:rsid w:val="00AA50E9"/>
    <w:rsid w:val="00AA7B0E"/>
    <w:rsid w:val="00AB0DF1"/>
    <w:rsid w:val="00AB10F8"/>
    <w:rsid w:val="00AB1294"/>
    <w:rsid w:val="00AB195D"/>
    <w:rsid w:val="00AB1CA4"/>
    <w:rsid w:val="00AB1E1E"/>
    <w:rsid w:val="00AB24DB"/>
    <w:rsid w:val="00AB2CBE"/>
    <w:rsid w:val="00AB3989"/>
    <w:rsid w:val="00AB39C5"/>
    <w:rsid w:val="00AB42B1"/>
    <w:rsid w:val="00AB45C5"/>
    <w:rsid w:val="00AB4702"/>
    <w:rsid w:val="00AB4F41"/>
    <w:rsid w:val="00AB585F"/>
    <w:rsid w:val="00AB5A0D"/>
    <w:rsid w:val="00AB6CBD"/>
    <w:rsid w:val="00AB770E"/>
    <w:rsid w:val="00AB7EFF"/>
    <w:rsid w:val="00AC06EF"/>
    <w:rsid w:val="00AC211E"/>
    <w:rsid w:val="00AC3B17"/>
    <w:rsid w:val="00AC4FFA"/>
    <w:rsid w:val="00AC5F9E"/>
    <w:rsid w:val="00AC6AAF"/>
    <w:rsid w:val="00AC71EB"/>
    <w:rsid w:val="00AC7ED9"/>
    <w:rsid w:val="00AD1854"/>
    <w:rsid w:val="00AD2F15"/>
    <w:rsid w:val="00AD323C"/>
    <w:rsid w:val="00AD3304"/>
    <w:rsid w:val="00AD334B"/>
    <w:rsid w:val="00AD508B"/>
    <w:rsid w:val="00AD68C1"/>
    <w:rsid w:val="00AD6BBA"/>
    <w:rsid w:val="00AE0364"/>
    <w:rsid w:val="00AE0B3A"/>
    <w:rsid w:val="00AE0E8A"/>
    <w:rsid w:val="00AE28B7"/>
    <w:rsid w:val="00AE2C16"/>
    <w:rsid w:val="00AE3663"/>
    <w:rsid w:val="00AE4D6A"/>
    <w:rsid w:val="00AE646A"/>
    <w:rsid w:val="00AF1487"/>
    <w:rsid w:val="00AF2E2F"/>
    <w:rsid w:val="00AF2F1D"/>
    <w:rsid w:val="00AF3453"/>
    <w:rsid w:val="00AF3E2C"/>
    <w:rsid w:val="00AF4609"/>
    <w:rsid w:val="00AF699B"/>
    <w:rsid w:val="00AF6A0A"/>
    <w:rsid w:val="00B00126"/>
    <w:rsid w:val="00B0194F"/>
    <w:rsid w:val="00B02929"/>
    <w:rsid w:val="00B035BC"/>
    <w:rsid w:val="00B04110"/>
    <w:rsid w:val="00B05263"/>
    <w:rsid w:val="00B0611E"/>
    <w:rsid w:val="00B0700D"/>
    <w:rsid w:val="00B0741D"/>
    <w:rsid w:val="00B074D9"/>
    <w:rsid w:val="00B100A7"/>
    <w:rsid w:val="00B10251"/>
    <w:rsid w:val="00B105C0"/>
    <w:rsid w:val="00B118B1"/>
    <w:rsid w:val="00B11EAA"/>
    <w:rsid w:val="00B12696"/>
    <w:rsid w:val="00B1317A"/>
    <w:rsid w:val="00B1465A"/>
    <w:rsid w:val="00B14717"/>
    <w:rsid w:val="00B20C83"/>
    <w:rsid w:val="00B21D49"/>
    <w:rsid w:val="00B24710"/>
    <w:rsid w:val="00B251AD"/>
    <w:rsid w:val="00B25C8F"/>
    <w:rsid w:val="00B25DD7"/>
    <w:rsid w:val="00B26661"/>
    <w:rsid w:val="00B268DD"/>
    <w:rsid w:val="00B27123"/>
    <w:rsid w:val="00B274A9"/>
    <w:rsid w:val="00B31206"/>
    <w:rsid w:val="00B326AE"/>
    <w:rsid w:val="00B329E8"/>
    <w:rsid w:val="00B32AB7"/>
    <w:rsid w:val="00B32F6D"/>
    <w:rsid w:val="00B332A7"/>
    <w:rsid w:val="00B33481"/>
    <w:rsid w:val="00B3367A"/>
    <w:rsid w:val="00B337CB"/>
    <w:rsid w:val="00B34342"/>
    <w:rsid w:val="00B3470F"/>
    <w:rsid w:val="00B34CB5"/>
    <w:rsid w:val="00B35D4D"/>
    <w:rsid w:val="00B36955"/>
    <w:rsid w:val="00B37E63"/>
    <w:rsid w:val="00B41D03"/>
    <w:rsid w:val="00B41FC8"/>
    <w:rsid w:val="00B43EF5"/>
    <w:rsid w:val="00B44657"/>
    <w:rsid w:val="00B461FD"/>
    <w:rsid w:val="00B47D78"/>
    <w:rsid w:val="00B51254"/>
    <w:rsid w:val="00B51721"/>
    <w:rsid w:val="00B52F59"/>
    <w:rsid w:val="00B531CC"/>
    <w:rsid w:val="00B53248"/>
    <w:rsid w:val="00B54241"/>
    <w:rsid w:val="00B5456E"/>
    <w:rsid w:val="00B5645F"/>
    <w:rsid w:val="00B56DBD"/>
    <w:rsid w:val="00B60EDD"/>
    <w:rsid w:val="00B61232"/>
    <w:rsid w:val="00B6167D"/>
    <w:rsid w:val="00B61AC0"/>
    <w:rsid w:val="00B61F02"/>
    <w:rsid w:val="00B6222F"/>
    <w:rsid w:val="00B62E5E"/>
    <w:rsid w:val="00B63B9C"/>
    <w:rsid w:val="00B63D22"/>
    <w:rsid w:val="00B63D9D"/>
    <w:rsid w:val="00B6499A"/>
    <w:rsid w:val="00B655C1"/>
    <w:rsid w:val="00B66391"/>
    <w:rsid w:val="00B66C33"/>
    <w:rsid w:val="00B67408"/>
    <w:rsid w:val="00B7098F"/>
    <w:rsid w:val="00B70F03"/>
    <w:rsid w:val="00B70FE2"/>
    <w:rsid w:val="00B71ECA"/>
    <w:rsid w:val="00B71F28"/>
    <w:rsid w:val="00B72404"/>
    <w:rsid w:val="00B724E5"/>
    <w:rsid w:val="00B72E48"/>
    <w:rsid w:val="00B730E4"/>
    <w:rsid w:val="00B730FE"/>
    <w:rsid w:val="00B73651"/>
    <w:rsid w:val="00B74492"/>
    <w:rsid w:val="00B744C4"/>
    <w:rsid w:val="00B74933"/>
    <w:rsid w:val="00B74E49"/>
    <w:rsid w:val="00B7621E"/>
    <w:rsid w:val="00B77106"/>
    <w:rsid w:val="00B778F2"/>
    <w:rsid w:val="00B80055"/>
    <w:rsid w:val="00B80FF6"/>
    <w:rsid w:val="00B817CE"/>
    <w:rsid w:val="00B83854"/>
    <w:rsid w:val="00B83BB2"/>
    <w:rsid w:val="00B85A79"/>
    <w:rsid w:val="00B85C82"/>
    <w:rsid w:val="00B861B2"/>
    <w:rsid w:val="00B87222"/>
    <w:rsid w:val="00B92961"/>
    <w:rsid w:val="00B93382"/>
    <w:rsid w:val="00B93B4C"/>
    <w:rsid w:val="00B94544"/>
    <w:rsid w:val="00B95763"/>
    <w:rsid w:val="00B97A0B"/>
    <w:rsid w:val="00BA1BA7"/>
    <w:rsid w:val="00BA1C5B"/>
    <w:rsid w:val="00BA3817"/>
    <w:rsid w:val="00BA40C2"/>
    <w:rsid w:val="00BA4898"/>
    <w:rsid w:val="00BA4FFF"/>
    <w:rsid w:val="00BA5934"/>
    <w:rsid w:val="00BA6015"/>
    <w:rsid w:val="00BA68ED"/>
    <w:rsid w:val="00BA6F2B"/>
    <w:rsid w:val="00BA72F3"/>
    <w:rsid w:val="00BA7831"/>
    <w:rsid w:val="00BB064F"/>
    <w:rsid w:val="00BB0D0F"/>
    <w:rsid w:val="00BB2B13"/>
    <w:rsid w:val="00BB3817"/>
    <w:rsid w:val="00BB73DE"/>
    <w:rsid w:val="00BC0F61"/>
    <w:rsid w:val="00BC38F1"/>
    <w:rsid w:val="00BC3C9B"/>
    <w:rsid w:val="00BC4DE0"/>
    <w:rsid w:val="00BC4FBA"/>
    <w:rsid w:val="00BD0643"/>
    <w:rsid w:val="00BD206C"/>
    <w:rsid w:val="00BD5B40"/>
    <w:rsid w:val="00BD6D74"/>
    <w:rsid w:val="00BE0EA8"/>
    <w:rsid w:val="00BE106C"/>
    <w:rsid w:val="00BE1BD3"/>
    <w:rsid w:val="00BE2032"/>
    <w:rsid w:val="00BE2975"/>
    <w:rsid w:val="00BE30B1"/>
    <w:rsid w:val="00BE3B6D"/>
    <w:rsid w:val="00BE3EE5"/>
    <w:rsid w:val="00BE4196"/>
    <w:rsid w:val="00BE51B6"/>
    <w:rsid w:val="00BE528D"/>
    <w:rsid w:val="00BE5989"/>
    <w:rsid w:val="00BE60C5"/>
    <w:rsid w:val="00BE6E60"/>
    <w:rsid w:val="00BF0E9B"/>
    <w:rsid w:val="00BF130E"/>
    <w:rsid w:val="00BF24BE"/>
    <w:rsid w:val="00BF29B9"/>
    <w:rsid w:val="00BF30CD"/>
    <w:rsid w:val="00BF458D"/>
    <w:rsid w:val="00BF5819"/>
    <w:rsid w:val="00BF5CCD"/>
    <w:rsid w:val="00BF6399"/>
    <w:rsid w:val="00BF6F09"/>
    <w:rsid w:val="00C00EB3"/>
    <w:rsid w:val="00C012B0"/>
    <w:rsid w:val="00C017D8"/>
    <w:rsid w:val="00C03323"/>
    <w:rsid w:val="00C03340"/>
    <w:rsid w:val="00C0350B"/>
    <w:rsid w:val="00C04A95"/>
    <w:rsid w:val="00C060C7"/>
    <w:rsid w:val="00C11368"/>
    <w:rsid w:val="00C11896"/>
    <w:rsid w:val="00C122DF"/>
    <w:rsid w:val="00C12702"/>
    <w:rsid w:val="00C14635"/>
    <w:rsid w:val="00C14B85"/>
    <w:rsid w:val="00C16060"/>
    <w:rsid w:val="00C21D56"/>
    <w:rsid w:val="00C222B2"/>
    <w:rsid w:val="00C23CC6"/>
    <w:rsid w:val="00C24084"/>
    <w:rsid w:val="00C25234"/>
    <w:rsid w:val="00C25663"/>
    <w:rsid w:val="00C25C5F"/>
    <w:rsid w:val="00C2796F"/>
    <w:rsid w:val="00C27AB1"/>
    <w:rsid w:val="00C27CD9"/>
    <w:rsid w:val="00C31501"/>
    <w:rsid w:val="00C3569B"/>
    <w:rsid w:val="00C35EE2"/>
    <w:rsid w:val="00C36116"/>
    <w:rsid w:val="00C364A1"/>
    <w:rsid w:val="00C36505"/>
    <w:rsid w:val="00C37AD9"/>
    <w:rsid w:val="00C40FA3"/>
    <w:rsid w:val="00C416AF"/>
    <w:rsid w:val="00C441B1"/>
    <w:rsid w:val="00C4479D"/>
    <w:rsid w:val="00C4494E"/>
    <w:rsid w:val="00C45536"/>
    <w:rsid w:val="00C473FC"/>
    <w:rsid w:val="00C47590"/>
    <w:rsid w:val="00C47C3A"/>
    <w:rsid w:val="00C50C31"/>
    <w:rsid w:val="00C52265"/>
    <w:rsid w:val="00C533BD"/>
    <w:rsid w:val="00C5385B"/>
    <w:rsid w:val="00C53B26"/>
    <w:rsid w:val="00C5517B"/>
    <w:rsid w:val="00C559DF"/>
    <w:rsid w:val="00C56A46"/>
    <w:rsid w:val="00C5781C"/>
    <w:rsid w:val="00C57A61"/>
    <w:rsid w:val="00C61C49"/>
    <w:rsid w:val="00C62C5B"/>
    <w:rsid w:val="00C641EF"/>
    <w:rsid w:val="00C64685"/>
    <w:rsid w:val="00C65841"/>
    <w:rsid w:val="00C65AF2"/>
    <w:rsid w:val="00C65D2A"/>
    <w:rsid w:val="00C66D66"/>
    <w:rsid w:val="00C66FC0"/>
    <w:rsid w:val="00C6767F"/>
    <w:rsid w:val="00C67D4B"/>
    <w:rsid w:val="00C7135C"/>
    <w:rsid w:val="00C72772"/>
    <w:rsid w:val="00C74046"/>
    <w:rsid w:val="00C741C6"/>
    <w:rsid w:val="00C74631"/>
    <w:rsid w:val="00C7471B"/>
    <w:rsid w:val="00C74F42"/>
    <w:rsid w:val="00C75B81"/>
    <w:rsid w:val="00C7701D"/>
    <w:rsid w:val="00C7737D"/>
    <w:rsid w:val="00C811EF"/>
    <w:rsid w:val="00C82498"/>
    <w:rsid w:val="00C82589"/>
    <w:rsid w:val="00C83CEE"/>
    <w:rsid w:val="00C84184"/>
    <w:rsid w:val="00C84816"/>
    <w:rsid w:val="00C858DC"/>
    <w:rsid w:val="00C85C05"/>
    <w:rsid w:val="00C90B54"/>
    <w:rsid w:val="00C90CD4"/>
    <w:rsid w:val="00C91F59"/>
    <w:rsid w:val="00C92BC2"/>
    <w:rsid w:val="00C93C1A"/>
    <w:rsid w:val="00CA043A"/>
    <w:rsid w:val="00CA0C93"/>
    <w:rsid w:val="00CA0E7A"/>
    <w:rsid w:val="00CA1716"/>
    <w:rsid w:val="00CA2068"/>
    <w:rsid w:val="00CA234D"/>
    <w:rsid w:val="00CA272B"/>
    <w:rsid w:val="00CA3098"/>
    <w:rsid w:val="00CA357C"/>
    <w:rsid w:val="00CA368E"/>
    <w:rsid w:val="00CA39BB"/>
    <w:rsid w:val="00CA428B"/>
    <w:rsid w:val="00CA71B6"/>
    <w:rsid w:val="00CA72AD"/>
    <w:rsid w:val="00CA75AD"/>
    <w:rsid w:val="00CB0992"/>
    <w:rsid w:val="00CB0AAF"/>
    <w:rsid w:val="00CB17EF"/>
    <w:rsid w:val="00CB2304"/>
    <w:rsid w:val="00CB2AD2"/>
    <w:rsid w:val="00CB2BCD"/>
    <w:rsid w:val="00CB2F14"/>
    <w:rsid w:val="00CB4081"/>
    <w:rsid w:val="00CB4250"/>
    <w:rsid w:val="00CB47B6"/>
    <w:rsid w:val="00CB49FC"/>
    <w:rsid w:val="00CB5B1D"/>
    <w:rsid w:val="00CB7612"/>
    <w:rsid w:val="00CC03D9"/>
    <w:rsid w:val="00CC0B53"/>
    <w:rsid w:val="00CC2E7C"/>
    <w:rsid w:val="00CC3353"/>
    <w:rsid w:val="00CC3FB9"/>
    <w:rsid w:val="00CC46A6"/>
    <w:rsid w:val="00CC526C"/>
    <w:rsid w:val="00CC53D7"/>
    <w:rsid w:val="00CC59EC"/>
    <w:rsid w:val="00CC6237"/>
    <w:rsid w:val="00CC6CC0"/>
    <w:rsid w:val="00CC7F1D"/>
    <w:rsid w:val="00CD023A"/>
    <w:rsid w:val="00CD0E5C"/>
    <w:rsid w:val="00CD0E76"/>
    <w:rsid w:val="00CD2092"/>
    <w:rsid w:val="00CD2331"/>
    <w:rsid w:val="00CD2E5F"/>
    <w:rsid w:val="00CD2FAE"/>
    <w:rsid w:val="00CD319D"/>
    <w:rsid w:val="00CD52BE"/>
    <w:rsid w:val="00CD55C0"/>
    <w:rsid w:val="00CD57DB"/>
    <w:rsid w:val="00CD669D"/>
    <w:rsid w:val="00CD7A4F"/>
    <w:rsid w:val="00CD7D79"/>
    <w:rsid w:val="00CE3874"/>
    <w:rsid w:val="00CE45AE"/>
    <w:rsid w:val="00CE548E"/>
    <w:rsid w:val="00CE6DD7"/>
    <w:rsid w:val="00CE7089"/>
    <w:rsid w:val="00CE7D5F"/>
    <w:rsid w:val="00CF26F3"/>
    <w:rsid w:val="00CF5AB7"/>
    <w:rsid w:val="00CF6487"/>
    <w:rsid w:val="00CF669C"/>
    <w:rsid w:val="00CF6ABE"/>
    <w:rsid w:val="00CF6E13"/>
    <w:rsid w:val="00CF73DE"/>
    <w:rsid w:val="00CF7FE8"/>
    <w:rsid w:val="00D00731"/>
    <w:rsid w:val="00D01F65"/>
    <w:rsid w:val="00D04FC0"/>
    <w:rsid w:val="00D05F94"/>
    <w:rsid w:val="00D06069"/>
    <w:rsid w:val="00D10925"/>
    <w:rsid w:val="00D10DB6"/>
    <w:rsid w:val="00D11396"/>
    <w:rsid w:val="00D11790"/>
    <w:rsid w:val="00D1413A"/>
    <w:rsid w:val="00D16058"/>
    <w:rsid w:val="00D166AE"/>
    <w:rsid w:val="00D20724"/>
    <w:rsid w:val="00D225AC"/>
    <w:rsid w:val="00D23727"/>
    <w:rsid w:val="00D23DB4"/>
    <w:rsid w:val="00D255A9"/>
    <w:rsid w:val="00D26186"/>
    <w:rsid w:val="00D26CC6"/>
    <w:rsid w:val="00D2782D"/>
    <w:rsid w:val="00D27BA7"/>
    <w:rsid w:val="00D27CF5"/>
    <w:rsid w:val="00D3025D"/>
    <w:rsid w:val="00D31895"/>
    <w:rsid w:val="00D31B0C"/>
    <w:rsid w:val="00D31CC0"/>
    <w:rsid w:val="00D335FD"/>
    <w:rsid w:val="00D3406D"/>
    <w:rsid w:val="00D34A48"/>
    <w:rsid w:val="00D350CB"/>
    <w:rsid w:val="00D36363"/>
    <w:rsid w:val="00D37231"/>
    <w:rsid w:val="00D37A47"/>
    <w:rsid w:val="00D424B5"/>
    <w:rsid w:val="00D42763"/>
    <w:rsid w:val="00D42A18"/>
    <w:rsid w:val="00D42CC5"/>
    <w:rsid w:val="00D43077"/>
    <w:rsid w:val="00D43253"/>
    <w:rsid w:val="00D45B66"/>
    <w:rsid w:val="00D475B2"/>
    <w:rsid w:val="00D50AC3"/>
    <w:rsid w:val="00D518F4"/>
    <w:rsid w:val="00D52272"/>
    <w:rsid w:val="00D52E79"/>
    <w:rsid w:val="00D5391C"/>
    <w:rsid w:val="00D540A8"/>
    <w:rsid w:val="00D54851"/>
    <w:rsid w:val="00D550ED"/>
    <w:rsid w:val="00D55EDE"/>
    <w:rsid w:val="00D5654D"/>
    <w:rsid w:val="00D57AF9"/>
    <w:rsid w:val="00D608E8"/>
    <w:rsid w:val="00D60DC9"/>
    <w:rsid w:val="00D61FD3"/>
    <w:rsid w:val="00D65E23"/>
    <w:rsid w:val="00D66373"/>
    <w:rsid w:val="00D66732"/>
    <w:rsid w:val="00D66920"/>
    <w:rsid w:val="00D67114"/>
    <w:rsid w:val="00D671D7"/>
    <w:rsid w:val="00D733B0"/>
    <w:rsid w:val="00D73F2C"/>
    <w:rsid w:val="00D74631"/>
    <w:rsid w:val="00D75FF0"/>
    <w:rsid w:val="00D76A4A"/>
    <w:rsid w:val="00D81818"/>
    <w:rsid w:val="00D830A3"/>
    <w:rsid w:val="00D835C5"/>
    <w:rsid w:val="00D85517"/>
    <w:rsid w:val="00D85A74"/>
    <w:rsid w:val="00D8672F"/>
    <w:rsid w:val="00D86D7F"/>
    <w:rsid w:val="00D86E64"/>
    <w:rsid w:val="00D903D0"/>
    <w:rsid w:val="00D913DB"/>
    <w:rsid w:val="00D92200"/>
    <w:rsid w:val="00D93FFB"/>
    <w:rsid w:val="00D9417E"/>
    <w:rsid w:val="00D94E2F"/>
    <w:rsid w:val="00D9510A"/>
    <w:rsid w:val="00D96C5D"/>
    <w:rsid w:val="00D96D54"/>
    <w:rsid w:val="00D97E50"/>
    <w:rsid w:val="00DA1DF0"/>
    <w:rsid w:val="00DA351F"/>
    <w:rsid w:val="00DA4082"/>
    <w:rsid w:val="00DA5C1F"/>
    <w:rsid w:val="00DA6E18"/>
    <w:rsid w:val="00DA70F7"/>
    <w:rsid w:val="00DB0045"/>
    <w:rsid w:val="00DB0885"/>
    <w:rsid w:val="00DB088F"/>
    <w:rsid w:val="00DB1A2D"/>
    <w:rsid w:val="00DB2A6F"/>
    <w:rsid w:val="00DB2A98"/>
    <w:rsid w:val="00DB2D95"/>
    <w:rsid w:val="00DB3D52"/>
    <w:rsid w:val="00DB45F1"/>
    <w:rsid w:val="00DB5930"/>
    <w:rsid w:val="00DB655F"/>
    <w:rsid w:val="00DB71C4"/>
    <w:rsid w:val="00DC1740"/>
    <w:rsid w:val="00DC2002"/>
    <w:rsid w:val="00DC2AA8"/>
    <w:rsid w:val="00DC3032"/>
    <w:rsid w:val="00DC36E1"/>
    <w:rsid w:val="00DC3D56"/>
    <w:rsid w:val="00DC46C1"/>
    <w:rsid w:val="00DC4FA3"/>
    <w:rsid w:val="00DC501B"/>
    <w:rsid w:val="00DC547A"/>
    <w:rsid w:val="00DC698F"/>
    <w:rsid w:val="00DC76F5"/>
    <w:rsid w:val="00DD0B2F"/>
    <w:rsid w:val="00DD0C8C"/>
    <w:rsid w:val="00DD0E32"/>
    <w:rsid w:val="00DD1406"/>
    <w:rsid w:val="00DD17B0"/>
    <w:rsid w:val="00DD1AD6"/>
    <w:rsid w:val="00DD1C60"/>
    <w:rsid w:val="00DD23F7"/>
    <w:rsid w:val="00DD375A"/>
    <w:rsid w:val="00DD5B00"/>
    <w:rsid w:val="00DD6378"/>
    <w:rsid w:val="00DD689E"/>
    <w:rsid w:val="00DD7A4B"/>
    <w:rsid w:val="00DD7C00"/>
    <w:rsid w:val="00DE02CB"/>
    <w:rsid w:val="00DE09D0"/>
    <w:rsid w:val="00DE0EAA"/>
    <w:rsid w:val="00DE1031"/>
    <w:rsid w:val="00DE143A"/>
    <w:rsid w:val="00DE21D8"/>
    <w:rsid w:val="00DE2282"/>
    <w:rsid w:val="00DE2637"/>
    <w:rsid w:val="00DE3EC6"/>
    <w:rsid w:val="00DE6AD7"/>
    <w:rsid w:val="00DE7236"/>
    <w:rsid w:val="00DE7C42"/>
    <w:rsid w:val="00DF1F70"/>
    <w:rsid w:val="00DF3534"/>
    <w:rsid w:val="00DF6030"/>
    <w:rsid w:val="00DF6879"/>
    <w:rsid w:val="00E0189B"/>
    <w:rsid w:val="00E020C1"/>
    <w:rsid w:val="00E026AA"/>
    <w:rsid w:val="00E045E7"/>
    <w:rsid w:val="00E046D4"/>
    <w:rsid w:val="00E059D2"/>
    <w:rsid w:val="00E05A70"/>
    <w:rsid w:val="00E05F9F"/>
    <w:rsid w:val="00E0737D"/>
    <w:rsid w:val="00E10069"/>
    <w:rsid w:val="00E1218D"/>
    <w:rsid w:val="00E121DF"/>
    <w:rsid w:val="00E12361"/>
    <w:rsid w:val="00E12512"/>
    <w:rsid w:val="00E12A39"/>
    <w:rsid w:val="00E1306B"/>
    <w:rsid w:val="00E13325"/>
    <w:rsid w:val="00E13BE1"/>
    <w:rsid w:val="00E13E76"/>
    <w:rsid w:val="00E153C3"/>
    <w:rsid w:val="00E157D4"/>
    <w:rsid w:val="00E15AC8"/>
    <w:rsid w:val="00E1635F"/>
    <w:rsid w:val="00E20473"/>
    <w:rsid w:val="00E20762"/>
    <w:rsid w:val="00E250D3"/>
    <w:rsid w:val="00E25309"/>
    <w:rsid w:val="00E2596B"/>
    <w:rsid w:val="00E25A31"/>
    <w:rsid w:val="00E25A3B"/>
    <w:rsid w:val="00E25A7D"/>
    <w:rsid w:val="00E2612F"/>
    <w:rsid w:val="00E30190"/>
    <w:rsid w:val="00E3094B"/>
    <w:rsid w:val="00E30F07"/>
    <w:rsid w:val="00E32001"/>
    <w:rsid w:val="00E32835"/>
    <w:rsid w:val="00E34561"/>
    <w:rsid w:val="00E357EF"/>
    <w:rsid w:val="00E358C5"/>
    <w:rsid w:val="00E359C9"/>
    <w:rsid w:val="00E364F1"/>
    <w:rsid w:val="00E36C55"/>
    <w:rsid w:val="00E400D3"/>
    <w:rsid w:val="00E416AE"/>
    <w:rsid w:val="00E42197"/>
    <w:rsid w:val="00E42562"/>
    <w:rsid w:val="00E42579"/>
    <w:rsid w:val="00E42E90"/>
    <w:rsid w:val="00E4477A"/>
    <w:rsid w:val="00E44DEA"/>
    <w:rsid w:val="00E45677"/>
    <w:rsid w:val="00E45DAA"/>
    <w:rsid w:val="00E4764A"/>
    <w:rsid w:val="00E476DB"/>
    <w:rsid w:val="00E50FDA"/>
    <w:rsid w:val="00E51731"/>
    <w:rsid w:val="00E5387C"/>
    <w:rsid w:val="00E5563A"/>
    <w:rsid w:val="00E55873"/>
    <w:rsid w:val="00E56AA7"/>
    <w:rsid w:val="00E56DAF"/>
    <w:rsid w:val="00E57610"/>
    <w:rsid w:val="00E57972"/>
    <w:rsid w:val="00E57BE4"/>
    <w:rsid w:val="00E57E5F"/>
    <w:rsid w:val="00E57F0C"/>
    <w:rsid w:val="00E617B9"/>
    <w:rsid w:val="00E617E5"/>
    <w:rsid w:val="00E62F30"/>
    <w:rsid w:val="00E64565"/>
    <w:rsid w:val="00E64B44"/>
    <w:rsid w:val="00E64ED9"/>
    <w:rsid w:val="00E66839"/>
    <w:rsid w:val="00E66CA6"/>
    <w:rsid w:val="00E67AF3"/>
    <w:rsid w:val="00E72B23"/>
    <w:rsid w:val="00E72FAB"/>
    <w:rsid w:val="00E7377E"/>
    <w:rsid w:val="00E75805"/>
    <w:rsid w:val="00E75B41"/>
    <w:rsid w:val="00E767A7"/>
    <w:rsid w:val="00E77C52"/>
    <w:rsid w:val="00E77CD0"/>
    <w:rsid w:val="00E80017"/>
    <w:rsid w:val="00E81F92"/>
    <w:rsid w:val="00E82787"/>
    <w:rsid w:val="00E82EFB"/>
    <w:rsid w:val="00E853C8"/>
    <w:rsid w:val="00E85565"/>
    <w:rsid w:val="00E855B0"/>
    <w:rsid w:val="00E8567A"/>
    <w:rsid w:val="00E85DD2"/>
    <w:rsid w:val="00E86207"/>
    <w:rsid w:val="00E86DFF"/>
    <w:rsid w:val="00E86EB5"/>
    <w:rsid w:val="00E873F6"/>
    <w:rsid w:val="00E91906"/>
    <w:rsid w:val="00E922F8"/>
    <w:rsid w:val="00E92303"/>
    <w:rsid w:val="00E94249"/>
    <w:rsid w:val="00E9483F"/>
    <w:rsid w:val="00E94F68"/>
    <w:rsid w:val="00E95377"/>
    <w:rsid w:val="00E96925"/>
    <w:rsid w:val="00E97654"/>
    <w:rsid w:val="00EA073D"/>
    <w:rsid w:val="00EA0BB5"/>
    <w:rsid w:val="00EA1436"/>
    <w:rsid w:val="00EA1480"/>
    <w:rsid w:val="00EA15A9"/>
    <w:rsid w:val="00EA2E4E"/>
    <w:rsid w:val="00EA316F"/>
    <w:rsid w:val="00EA455B"/>
    <w:rsid w:val="00EA4811"/>
    <w:rsid w:val="00EA525E"/>
    <w:rsid w:val="00EA5FF5"/>
    <w:rsid w:val="00EA6536"/>
    <w:rsid w:val="00EA6DAF"/>
    <w:rsid w:val="00EB2D2A"/>
    <w:rsid w:val="00EB37EE"/>
    <w:rsid w:val="00EB3AD9"/>
    <w:rsid w:val="00EB3AE5"/>
    <w:rsid w:val="00EB5109"/>
    <w:rsid w:val="00EB55E7"/>
    <w:rsid w:val="00EB5972"/>
    <w:rsid w:val="00EB5D68"/>
    <w:rsid w:val="00EB767F"/>
    <w:rsid w:val="00EB780A"/>
    <w:rsid w:val="00EB7BEB"/>
    <w:rsid w:val="00EC070B"/>
    <w:rsid w:val="00EC1C01"/>
    <w:rsid w:val="00EC1F84"/>
    <w:rsid w:val="00EC26B4"/>
    <w:rsid w:val="00EC4057"/>
    <w:rsid w:val="00EC510F"/>
    <w:rsid w:val="00EC5C1F"/>
    <w:rsid w:val="00EC6A81"/>
    <w:rsid w:val="00EC7E23"/>
    <w:rsid w:val="00ED0559"/>
    <w:rsid w:val="00ED1AC4"/>
    <w:rsid w:val="00ED226D"/>
    <w:rsid w:val="00ED2FF6"/>
    <w:rsid w:val="00ED4623"/>
    <w:rsid w:val="00ED4BC0"/>
    <w:rsid w:val="00ED4F08"/>
    <w:rsid w:val="00ED66FF"/>
    <w:rsid w:val="00ED71AD"/>
    <w:rsid w:val="00EE0211"/>
    <w:rsid w:val="00EE0CCF"/>
    <w:rsid w:val="00EE116F"/>
    <w:rsid w:val="00EE17C3"/>
    <w:rsid w:val="00EE219C"/>
    <w:rsid w:val="00EE24B8"/>
    <w:rsid w:val="00EE289C"/>
    <w:rsid w:val="00EE42CE"/>
    <w:rsid w:val="00EE6C63"/>
    <w:rsid w:val="00EE6CB7"/>
    <w:rsid w:val="00EE7ED5"/>
    <w:rsid w:val="00EF0198"/>
    <w:rsid w:val="00EF2910"/>
    <w:rsid w:val="00EF32B8"/>
    <w:rsid w:val="00EF368E"/>
    <w:rsid w:val="00EF3DA7"/>
    <w:rsid w:val="00EF5732"/>
    <w:rsid w:val="00EF7500"/>
    <w:rsid w:val="00F0013E"/>
    <w:rsid w:val="00F003AE"/>
    <w:rsid w:val="00F0072F"/>
    <w:rsid w:val="00F017D1"/>
    <w:rsid w:val="00F02505"/>
    <w:rsid w:val="00F040EE"/>
    <w:rsid w:val="00F05C94"/>
    <w:rsid w:val="00F06339"/>
    <w:rsid w:val="00F07B3D"/>
    <w:rsid w:val="00F10444"/>
    <w:rsid w:val="00F10515"/>
    <w:rsid w:val="00F106AA"/>
    <w:rsid w:val="00F109A9"/>
    <w:rsid w:val="00F11E13"/>
    <w:rsid w:val="00F134EE"/>
    <w:rsid w:val="00F1363B"/>
    <w:rsid w:val="00F13651"/>
    <w:rsid w:val="00F14676"/>
    <w:rsid w:val="00F1500A"/>
    <w:rsid w:val="00F160B3"/>
    <w:rsid w:val="00F17971"/>
    <w:rsid w:val="00F17C83"/>
    <w:rsid w:val="00F229BF"/>
    <w:rsid w:val="00F2310D"/>
    <w:rsid w:val="00F238B4"/>
    <w:rsid w:val="00F25C5C"/>
    <w:rsid w:val="00F3061C"/>
    <w:rsid w:val="00F31DF0"/>
    <w:rsid w:val="00F32779"/>
    <w:rsid w:val="00F35AB2"/>
    <w:rsid w:val="00F37743"/>
    <w:rsid w:val="00F379A0"/>
    <w:rsid w:val="00F40B5E"/>
    <w:rsid w:val="00F40E0E"/>
    <w:rsid w:val="00F40FF3"/>
    <w:rsid w:val="00F415D1"/>
    <w:rsid w:val="00F41C93"/>
    <w:rsid w:val="00F4246A"/>
    <w:rsid w:val="00F438B2"/>
    <w:rsid w:val="00F44BE1"/>
    <w:rsid w:val="00F44C71"/>
    <w:rsid w:val="00F44D33"/>
    <w:rsid w:val="00F450E1"/>
    <w:rsid w:val="00F45490"/>
    <w:rsid w:val="00F45980"/>
    <w:rsid w:val="00F45C6C"/>
    <w:rsid w:val="00F45DBE"/>
    <w:rsid w:val="00F45E38"/>
    <w:rsid w:val="00F46752"/>
    <w:rsid w:val="00F52675"/>
    <w:rsid w:val="00F53230"/>
    <w:rsid w:val="00F5361B"/>
    <w:rsid w:val="00F54282"/>
    <w:rsid w:val="00F54B53"/>
    <w:rsid w:val="00F55269"/>
    <w:rsid w:val="00F5539A"/>
    <w:rsid w:val="00F558C5"/>
    <w:rsid w:val="00F55EC6"/>
    <w:rsid w:val="00F56BEA"/>
    <w:rsid w:val="00F56D8C"/>
    <w:rsid w:val="00F60F74"/>
    <w:rsid w:val="00F61128"/>
    <w:rsid w:val="00F61F12"/>
    <w:rsid w:val="00F6216F"/>
    <w:rsid w:val="00F62592"/>
    <w:rsid w:val="00F671A1"/>
    <w:rsid w:val="00F679BE"/>
    <w:rsid w:val="00F67A0A"/>
    <w:rsid w:val="00F67E17"/>
    <w:rsid w:val="00F70627"/>
    <w:rsid w:val="00F70A66"/>
    <w:rsid w:val="00F70C0F"/>
    <w:rsid w:val="00F713CA"/>
    <w:rsid w:val="00F71E1F"/>
    <w:rsid w:val="00F720B3"/>
    <w:rsid w:val="00F72D5F"/>
    <w:rsid w:val="00F7315F"/>
    <w:rsid w:val="00F73306"/>
    <w:rsid w:val="00F739ED"/>
    <w:rsid w:val="00F73A90"/>
    <w:rsid w:val="00F73D76"/>
    <w:rsid w:val="00F74994"/>
    <w:rsid w:val="00F74C79"/>
    <w:rsid w:val="00F755DB"/>
    <w:rsid w:val="00F75F3C"/>
    <w:rsid w:val="00F7647D"/>
    <w:rsid w:val="00F76D57"/>
    <w:rsid w:val="00F77C5E"/>
    <w:rsid w:val="00F80E7A"/>
    <w:rsid w:val="00F82F13"/>
    <w:rsid w:val="00F8549B"/>
    <w:rsid w:val="00F87185"/>
    <w:rsid w:val="00F87C20"/>
    <w:rsid w:val="00F90A19"/>
    <w:rsid w:val="00F91137"/>
    <w:rsid w:val="00F912FA"/>
    <w:rsid w:val="00F91647"/>
    <w:rsid w:val="00F91944"/>
    <w:rsid w:val="00F92220"/>
    <w:rsid w:val="00F93F0C"/>
    <w:rsid w:val="00F94334"/>
    <w:rsid w:val="00F966AD"/>
    <w:rsid w:val="00FA11DC"/>
    <w:rsid w:val="00FA1392"/>
    <w:rsid w:val="00FA3564"/>
    <w:rsid w:val="00FA4281"/>
    <w:rsid w:val="00FA6F67"/>
    <w:rsid w:val="00FB0013"/>
    <w:rsid w:val="00FB1F3D"/>
    <w:rsid w:val="00FB2DDC"/>
    <w:rsid w:val="00FB3653"/>
    <w:rsid w:val="00FB4785"/>
    <w:rsid w:val="00FB4DF1"/>
    <w:rsid w:val="00FB6090"/>
    <w:rsid w:val="00FB7C53"/>
    <w:rsid w:val="00FC05AE"/>
    <w:rsid w:val="00FC0E33"/>
    <w:rsid w:val="00FC13B7"/>
    <w:rsid w:val="00FC1D7B"/>
    <w:rsid w:val="00FC584F"/>
    <w:rsid w:val="00FC6B06"/>
    <w:rsid w:val="00FC72EF"/>
    <w:rsid w:val="00FC789B"/>
    <w:rsid w:val="00FC79A4"/>
    <w:rsid w:val="00FC7BA9"/>
    <w:rsid w:val="00FC7DA0"/>
    <w:rsid w:val="00FD1962"/>
    <w:rsid w:val="00FD1F8A"/>
    <w:rsid w:val="00FD2677"/>
    <w:rsid w:val="00FD2845"/>
    <w:rsid w:val="00FD2B91"/>
    <w:rsid w:val="00FD5D94"/>
    <w:rsid w:val="00FE013F"/>
    <w:rsid w:val="00FE11EA"/>
    <w:rsid w:val="00FE1C96"/>
    <w:rsid w:val="00FE247F"/>
    <w:rsid w:val="00FE332E"/>
    <w:rsid w:val="00FE41F1"/>
    <w:rsid w:val="00FE4802"/>
    <w:rsid w:val="00FE5CE8"/>
    <w:rsid w:val="00FE6B7E"/>
    <w:rsid w:val="00FE76DA"/>
    <w:rsid w:val="00FE7845"/>
    <w:rsid w:val="00FF097C"/>
    <w:rsid w:val="00FF10FC"/>
    <w:rsid w:val="00FF28E8"/>
    <w:rsid w:val="00FF2A5F"/>
    <w:rsid w:val="00FF3444"/>
    <w:rsid w:val="00FF44D9"/>
    <w:rsid w:val="00FF4A41"/>
    <w:rsid w:val="00FF4B75"/>
    <w:rsid w:val="00FF5050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731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A814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814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81455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153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oeybe@mf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19</Pages>
  <Words>2170</Words>
  <Characters>12371</Characters>
  <Application>Microsoft Office Outlook</Application>
  <DocSecurity>0</DocSecurity>
  <Lines>0</Lines>
  <Paragraphs>0</Paragraphs>
  <ScaleCrop>false</ScaleCrop>
  <Company>mfa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groeybe</dc:creator>
  <cp:keywords/>
  <dc:description/>
  <cp:lastModifiedBy>groeybe</cp:lastModifiedBy>
  <cp:revision>4</cp:revision>
  <cp:lastPrinted>2014-08-08T10:04:00Z</cp:lastPrinted>
  <dcterms:created xsi:type="dcterms:W3CDTF">2014-08-08T10:00:00Z</dcterms:created>
  <dcterms:modified xsi:type="dcterms:W3CDTF">2014-08-08T10:06:00Z</dcterms:modified>
</cp:coreProperties>
</file>