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drawings/drawing1.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drawings/drawing2.xml" ContentType="application/vnd.openxmlformats-officedocument.drawingml.chartshapes+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theme/themeOverride25.xml" ContentType="application/vnd.openxmlformats-officedocument.themeOverride+xml"/>
  <Override PartName="/word/drawings/drawing3.xml" ContentType="application/vnd.openxmlformats-officedocument.drawingml.chartshapes+xml"/>
  <Override PartName="/word/charts/chart27.xml" ContentType="application/vnd.openxmlformats-officedocument.drawingml.chart+xml"/>
  <Override PartName="/word/theme/themeOverride26.xml" ContentType="application/vnd.openxmlformats-officedocument.themeOverride+xml"/>
  <Override PartName="/word/drawings/drawing4.xml" ContentType="application/vnd.openxmlformats-officedocument.drawingml.chartshapes+xml"/>
  <Override PartName="/word/charts/chart28.xml" ContentType="application/vnd.openxmlformats-officedocument.drawingml.chart+xml"/>
  <Override PartName="/word/theme/themeOverride27.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8513" w14:textId="77777777" w:rsidR="00C80938" w:rsidRDefault="00C80938" w:rsidP="00761263">
      <w:pPr>
        <w:spacing w:after="0" w:line="360" w:lineRule="auto"/>
        <w:jc w:val="center"/>
        <w:rPr>
          <w:rFonts w:ascii="Times New Roman" w:hAnsi="Times New Roman" w:cs="Times New Roman"/>
          <w:b/>
          <w:sz w:val="24"/>
          <w:szCs w:val="24"/>
        </w:rPr>
      </w:pPr>
      <w:bookmarkStart w:id="0" w:name="_Hlk68251589"/>
    </w:p>
    <w:p w14:paraId="4CC5B5B1" w14:textId="50047006" w:rsidR="00A9257F" w:rsidRPr="00E36734" w:rsidRDefault="00A9257F" w:rsidP="00761263">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 xml:space="preserve">ΕΞΑΜΗΝΑΙΟ ΔΕΛΤΙΟ ΟΙΚΟΝΟΜΙΚΟΥ ΚΛΙΜΑΤΟΣ </w:t>
      </w:r>
      <w:r w:rsidR="00C80938" w:rsidRPr="00E36734">
        <w:rPr>
          <w:rFonts w:ascii="Times New Roman" w:hAnsi="Times New Roman" w:cs="Times New Roman"/>
          <w:b/>
          <w:sz w:val="24"/>
          <w:szCs w:val="24"/>
        </w:rPr>
        <w:t>ΜΙΚΡΩΝ &amp; ΠΟΛΥ ΜΙΚΡΩΝ ΕΠΙΧΕΙΡΗΣΕΩΝ</w:t>
      </w:r>
    </w:p>
    <w:p w14:paraId="57D81F7E" w14:textId="5D533D3D" w:rsidR="00A9257F" w:rsidRDefault="00AF06F5" w:rsidP="0026178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9</w:t>
      </w:r>
      <w:r w:rsidR="00EC5A22">
        <w:rPr>
          <w:rFonts w:ascii="Times New Roman" w:hAnsi="Times New Roman" w:cs="Times New Roman"/>
          <w:sz w:val="24"/>
          <w:szCs w:val="24"/>
        </w:rPr>
        <w:t xml:space="preserve"> Σεπτεμβρίου</w:t>
      </w:r>
      <w:r w:rsidR="00577A33" w:rsidRPr="007568CA">
        <w:rPr>
          <w:rFonts w:ascii="Times New Roman" w:hAnsi="Times New Roman" w:cs="Times New Roman"/>
          <w:sz w:val="24"/>
          <w:szCs w:val="24"/>
        </w:rPr>
        <w:t xml:space="preserve"> </w:t>
      </w:r>
      <w:r w:rsidR="0026178A" w:rsidRPr="00E36734">
        <w:rPr>
          <w:rFonts w:ascii="Times New Roman" w:hAnsi="Times New Roman" w:cs="Times New Roman"/>
          <w:sz w:val="24"/>
          <w:szCs w:val="24"/>
        </w:rPr>
        <w:t>2021</w:t>
      </w:r>
    </w:p>
    <w:p w14:paraId="5D892545" w14:textId="3BE97533" w:rsidR="00E70DCE" w:rsidRPr="00E70DCE" w:rsidRDefault="00E70DCE" w:rsidP="00E70DCE">
      <w:pPr>
        <w:spacing w:after="0" w:line="360" w:lineRule="auto"/>
        <w:jc w:val="center"/>
        <w:rPr>
          <w:rFonts w:ascii="Times New Roman" w:hAnsi="Times New Roman" w:cs="Times New Roman"/>
          <w:b/>
          <w:sz w:val="24"/>
          <w:szCs w:val="24"/>
        </w:rPr>
      </w:pPr>
      <w:r w:rsidRPr="0021650B">
        <w:rPr>
          <w:rFonts w:ascii="Times New Roman" w:hAnsi="Times New Roman" w:cs="Times New Roman"/>
          <w:b/>
          <w:sz w:val="24"/>
          <w:szCs w:val="24"/>
        </w:rPr>
        <w:t>(</w:t>
      </w:r>
      <w:proofErr w:type="spellStart"/>
      <w:r w:rsidRPr="0021650B">
        <w:rPr>
          <w:rFonts w:ascii="Times New Roman" w:hAnsi="Times New Roman" w:cs="Times New Roman"/>
          <w:b/>
          <w:sz w:val="24"/>
          <w:szCs w:val="24"/>
        </w:rPr>
        <w:t>Νο</w:t>
      </w:r>
      <w:proofErr w:type="spellEnd"/>
      <w:r w:rsidRPr="0021650B">
        <w:rPr>
          <w:rFonts w:ascii="Times New Roman" w:hAnsi="Times New Roman" w:cs="Times New Roman"/>
          <w:b/>
          <w:sz w:val="24"/>
          <w:szCs w:val="24"/>
        </w:rPr>
        <w:t>. 2</w:t>
      </w:r>
      <w:r w:rsidR="00AF06F5">
        <w:rPr>
          <w:rFonts w:ascii="Times New Roman" w:hAnsi="Times New Roman" w:cs="Times New Roman"/>
          <w:b/>
          <w:sz w:val="24"/>
          <w:szCs w:val="24"/>
        </w:rPr>
        <w:t>3</w:t>
      </w:r>
      <w:r w:rsidRPr="0021650B">
        <w:rPr>
          <w:rFonts w:ascii="Times New Roman" w:hAnsi="Times New Roman" w:cs="Times New Roman"/>
          <w:b/>
          <w:sz w:val="24"/>
          <w:szCs w:val="24"/>
        </w:rPr>
        <w:t xml:space="preserve">, </w:t>
      </w:r>
      <w:r>
        <w:rPr>
          <w:rFonts w:ascii="Times New Roman" w:hAnsi="Times New Roman" w:cs="Times New Roman"/>
          <w:b/>
          <w:sz w:val="24"/>
          <w:szCs w:val="24"/>
        </w:rPr>
        <w:t>2</w:t>
      </w:r>
      <w:r w:rsidRPr="0021650B">
        <w:rPr>
          <w:rFonts w:ascii="Times New Roman" w:hAnsi="Times New Roman" w:cs="Times New Roman"/>
          <w:b/>
          <w:sz w:val="24"/>
          <w:szCs w:val="24"/>
          <w:vertAlign w:val="superscript"/>
        </w:rPr>
        <w:t>ο</w:t>
      </w:r>
      <w:r w:rsidRPr="0021650B">
        <w:rPr>
          <w:rFonts w:ascii="Times New Roman" w:hAnsi="Times New Roman" w:cs="Times New Roman"/>
          <w:b/>
          <w:sz w:val="24"/>
          <w:szCs w:val="24"/>
        </w:rPr>
        <w:t>/2021)</w:t>
      </w:r>
    </w:p>
    <w:p w14:paraId="52CD0C8B" w14:textId="4717022A" w:rsidR="00A9257F" w:rsidRPr="00E70DCE" w:rsidRDefault="00A9257F" w:rsidP="00761263">
      <w:pPr>
        <w:spacing w:after="0" w:line="360" w:lineRule="auto"/>
        <w:jc w:val="both"/>
        <w:rPr>
          <w:rFonts w:ascii="Times New Roman" w:hAnsi="Times New Roman" w:cs="Times New Roman"/>
          <w:b/>
          <w:sz w:val="24"/>
          <w:szCs w:val="24"/>
        </w:rPr>
      </w:pPr>
      <w:r w:rsidRPr="004B70B9">
        <w:rPr>
          <w:rFonts w:ascii="Times New Roman" w:hAnsi="Times New Roman" w:cs="Times New Roman"/>
          <w:b/>
          <w:sz w:val="24"/>
          <w:szCs w:val="24"/>
        </w:rPr>
        <w:t xml:space="preserve">Θέμα: Έρευνα ΙΜΕ ΓΣΕΒΕΕ </w:t>
      </w:r>
      <w:r w:rsidR="00ED2A9D" w:rsidRPr="004B70B9">
        <w:rPr>
          <w:rFonts w:ascii="Times New Roman" w:hAnsi="Times New Roman" w:cs="Times New Roman"/>
          <w:b/>
          <w:sz w:val="24"/>
          <w:szCs w:val="24"/>
        </w:rPr>
        <w:t xml:space="preserve">- </w:t>
      </w:r>
      <w:r w:rsidRPr="004B70B9">
        <w:rPr>
          <w:rFonts w:ascii="Times New Roman" w:hAnsi="Times New Roman" w:cs="Times New Roman"/>
          <w:b/>
          <w:sz w:val="24"/>
          <w:szCs w:val="24"/>
        </w:rPr>
        <w:t xml:space="preserve">Εξαμηνία αποτύπωση οικονομικού κλίματος στις μικρές </w:t>
      </w:r>
      <w:r w:rsidR="00C80938" w:rsidRPr="004B70B9">
        <w:rPr>
          <w:rFonts w:ascii="Times New Roman" w:hAnsi="Times New Roman" w:cs="Times New Roman"/>
          <w:b/>
          <w:sz w:val="24"/>
          <w:szCs w:val="24"/>
        </w:rPr>
        <w:t xml:space="preserve">και πολύ μικρές </w:t>
      </w:r>
      <w:r w:rsidRPr="004B70B9">
        <w:rPr>
          <w:rFonts w:ascii="Times New Roman" w:hAnsi="Times New Roman" w:cs="Times New Roman"/>
          <w:b/>
          <w:sz w:val="24"/>
          <w:szCs w:val="24"/>
        </w:rPr>
        <w:t>επιχειρήσεις (0-49 άτομα προσωπικό οι οποίες αποτελούν το 99,6% των ελληνικών επιχειρήσεων)</w:t>
      </w:r>
      <w:r w:rsidR="00C80938" w:rsidRPr="004B70B9">
        <w:rPr>
          <w:rStyle w:val="ae"/>
          <w:rFonts w:ascii="Times New Roman" w:hAnsi="Times New Roman" w:cs="Times New Roman"/>
          <w:b/>
          <w:sz w:val="24"/>
          <w:szCs w:val="24"/>
        </w:rPr>
        <w:footnoteReference w:id="1"/>
      </w:r>
      <w:r w:rsidRPr="004B70B9">
        <w:rPr>
          <w:rFonts w:ascii="Times New Roman" w:hAnsi="Times New Roman" w:cs="Times New Roman"/>
          <w:b/>
          <w:sz w:val="24"/>
          <w:szCs w:val="24"/>
        </w:rPr>
        <w:t xml:space="preserve"> </w:t>
      </w:r>
    </w:p>
    <w:p w14:paraId="52524880" w14:textId="6FE7E7DE" w:rsidR="004B70B9" w:rsidRPr="004B70B9" w:rsidRDefault="004B70B9" w:rsidP="004B70B9">
      <w:pPr>
        <w:pStyle w:val="a5"/>
        <w:numPr>
          <w:ilvl w:val="0"/>
          <w:numId w:val="24"/>
        </w:numPr>
        <w:spacing w:after="0" w:line="360" w:lineRule="auto"/>
        <w:jc w:val="both"/>
        <w:rPr>
          <w:rFonts w:ascii="Times New Roman" w:hAnsi="Times New Roman" w:cs="Times New Roman"/>
          <w:b/>
          <w:sz w:val="24"/>
          <w:szCs w:val="24"/>
        </w:rPr>
      </w:pPr>
      <w:r w:rsidRPr="004B70B9">
        <w:rPr>
          <w:rFonts w:ascii="Times New Roman" w:hAnsi="Times New Roman" w:cs="Times New Roman"/>
          <w:b/>
          <w:sz w:val="24"/>
          <w:szCs w:val="24"/>
        </w:rPr>
        <w:t xml:space="preserve">Σημαντική άνοδος του δείκτη οικονομική κλίματος των </w:t>
      </w:r>
      <w:proofErr w:type="spellStart"/>
      <w:r w:rsidRPr="004B70B9">
        <w:rPr>
          <w:rFonts w:ascii="Times New Roman" w:hAnsi="Times New Roman" w:cs="Times New Roman"/>
          <w:b/>
          <w:sz w:val="24"/>
          <w:szCs w:val="24"/>
        </w:rPr>
        <w:t>Μ</w:t>
      </w:r>
      <w:r w:rsidR="005E3FEC">
        <w:rPr>
          <w:rFonts w:ascii="Times New Roman" w:hAnsi="Times New Roman" w:cs="Times New Roman"/>
          <w:b/>
          <w:sz w:val="24"/>
          <w:szCs w:val="24"/>
        </w:rPr>
        <w:t>μ</w:t>
      </w:r>
      <w:r w:rsidRPr="004B70B9">
        <w:rPr>
          <w:rFonts w:ascii="Times New Roman" w:hAnsi="Times New Roman" w:cs="Times New Roman"/>
          <w:b/>
          <w:sz w:val="24"/>
          <w:szCs w:val="24"/>
        </w:rPr>
        <w:t>Ε</w:t>
      </w:r>
      <w:proofErr w:type="spellEnd"/>
      <w:r w:rsidRPr="004B70B9">
        <w:rPr>
          <w:rFonts w:ascii="Times New Roman" w:hAnsi="Times New Roman" w:cs="Times New Roman"/>
          <w:b/>
          <w:sz w:val="24"/>
          <w:szCs w:val="24"/>
        </w:rPr>
        <w:t xml:space="preserve"> στις 46,3 μονάδες</w:t>
      </w:r>
    </w:p>
    <w:p w14:paraId="4FC72752" w14:textId="0DCA5402" w:rsidR="004B70B9" w:rsidRPr="004B70B9" w:rsidRDefault="004B70B9" w:rsidP="004B70B9">
      <w:pPr>
        <w:pStyle w:val="a5"/>
        <w:numPr>
          <w:ilvl w:val="0"/>
          <w:numId w:val="24"/>
        </w:numPr>
        <w:spacing w:after="0" w:line="360" w:lineRule="auto"/>
        <w:jc w:val="both"/>
        <w:rPr>
          <w:rFonts w:ascii="Times New Roman" w:hAnsi="Times New Roman" w:cs="Times New Roman"/>
          <w:b/>
          <w:sz w:val="24"/>
          <w:szCs w:val="24"/>
        </w:rPr>
      </w:pPr>
      <w:r w:rsidRPr="004B70B9">
        <w:rPr>
          <w:rFonts w:ascii="Times New Roman" w:hAnsi="Times New Roman" w:cs="Times New Roman"/>
          <w:b/>
          <w:sz w:val="24"/>
          <w:szCs w:val="24"/>
        </w:rPr>
        <w:t>Κρίσιμες βραχυπρόθεσμες και μεσοπρόθεσμες προκλήσεις για τη βιωσιμότητα των μικρών και πολύ μικρών επιχειρήσεων</w:t>
      </w:r>
    </w:p>
    <w:p w14:paraId="226466D6" w14:textId="77777777" w:rsidR="008C7FF0" w:rsidRPr="00577A33" w:rsidRDefault="008C7FF0" w:rsidP="00761263">
      <w:pPr>
        <w:spacing w:after="0" w:line="360" w:lineRule="auto"/>
        <w:jc w:val="both"/>
        <w:rPr>
          <w:rFonts w:ascii="Times New Roman" w:hAnsi="Times New Roman" w:cs="Times New Roman"/>
          <w:b/>
          <w:sz w:val="24"/>
          <w:szCs w:val="24"/>
          <w:highlight w:val="yellow"/>
        </w:rPr>
      </w:pPr>
    </w:p>
    <w:p w14:paraId="115F5FD1" w14:textId="4ADC46E0" w:rsidR="00AC066D" w:rsidRPr="00723F4A" w:rsidRDefault="002452C5" w:rsidP="00761263">
      <w:pPr>
        <w:spacing w:after="0" w:line="360" w:lineRule="auto"/>
        <w:jc w:val="both"/>
        <w:rPr>
          <w:rFonts w:ascii="Times New Roman" w:eastAsia="Times New Roman" w:hAnsi="Times New Roman" w:cs="Times New Roman"/>
          <w:color w:val="222222"/>
          <w:sz w:val="24"/>
          <w:szCs w:val="24"/>
          <w:lang w:eastAsia="el-GR"/>
        </w:rPr>
      </w:pPr>
      <w:r w:rsidRPr="00723F4A">
        <w:rPr>
          <w:rFonts w:ascii="Times New Roman" w:eastAsia="Times New Roman" w:hAnsi="Times New Roman" w:cs="Times New Roman"/>
          <w:color w:val="222222"/>
          <w:sz w:val="24"/>
          <w:szCs w:val="24"/>
          <w:lang w:eastAsia="el-GR"/>
        </w:rPr>
        <w:t xml:space="preserve">Η εξαμηνιαία έρευνα οικονομικού κλίματος </w:t>
      </w:r>
      <w:r w:rsidR="00F45994" w:rsidRPr="00723F4A">
        <w:rPr>
          <w:rFonts w:ascii="Times New Roman" w:eastAsia="Times New Roman" w:hAnsi="Times New Roman" w:cs="Times New Roman"/>
          <w:color w:val="222222"/>
          <w:sz w:val="24"/>
          <w:szCs w:val="24"/>
          <w:lang w:eastAsia="el-GR"/>
        </w:rPr>
        <w:t>για τις</w:t>
      </w:r>
      <w:r w:rsidRPr="00723F4A">
        <w:rPr>
          <w:rFonts w:ascii="Times New Roman" w:eastAsia="Times New Roman" w:hAnsi="Times New Roman" w:cs="Times New Roman"/>
          <w:color w:val="222222"/>
          <w:sz w:val="24"/>
          <w:szCs w:val="24"/>
          <w:lang w:eastAsia="el-GR"/>
        </w:rPr>
        <w:t xml:space="preserve"> μικρές και πολύ μικρές ε</w:t>
      </w:r>
      <w:r w:rsidR="00923D8D" w:rsidRPr="00723F4A">
        <w:rPr>
          <w:rFonts w:ascii="Times New Roman" w:eastAsia="Times New Roman" w:hAnsi="Times New Roman" w:cs="Times New Roman"/>
          <w:color w:val="222222"/>
          <w:sz w:val="24"/>
          <w:szCs w:val="24"/>
          <w:lang w:eastAsia="el-GR"/>
        </w:rPr>
        <w:t>πιχειρήσεις του ΙΜΕ ΓΣΕΒΕΕ, η</w:t>
      </w:r>
      <w:r w:rsidR="0026178A" w:rsidRPr="00723F4A">
        <w:rPr>
          <w:rFonts w:ascii="Times New Roman" w:eastAsia="Times New Roman" w:hAnsi="Times New Roman" w:cs="Times New Roman"/>
          <w:color w:val="222222"/>
          <w:sz w:val="24"/>
          <w:szCs w:val="24"/>
          <w:lang w:eastAsia="el-GR"/>
        </w:rPr>
        <w:t xml:space="preserve"> οποία διενεργείται συστηματικά από τον Μάιο του 2009</w:t>
      </w:r>
      <w:r w:rsidRPr="00723F4A">
        <w:rPr>
          <w:rFonts w:ascii="Times New Roman" w:eastAsia="Times New Roman" w:hAnsi="Times New Roman" w:cs="Times New Roman"/>
          <w:color w:val="222222"/>
          <w:sz w:val="24"/>
          <w:szCs w:val="24"/>
          <w:lang w:eastAsia="el-GR"/>
        </w:rPr>
        <w:t xml:space="preserve">, </w:t>
      </w:r>
      <w:r w:rsidR="00AC066D" w:rsidRPr="00723F4A">
        <w:rPr>
          <w:rFonts w:ascii="Times New Roman" w:eastAsia="Times New Roman" w:hAnsi="Times New Roman" w:cs="Times New Roman"/>
          <w:color w:val="222222"/>
          <w:sz w:val="24"/>
          <w:szCs w:val="24"/>
          <w:lang w:eastAsia="el-GR"/>
        </w:rPr>
        <w:t xml:space="preserve">αποτελεί την </w:t>
      </w:r>
      <w:r w:rsidR="00723F4A" w:rsidRPr="00723F4A">
        <w:rPr>
          <w:rFonts w:ascii="Times New Roman" w:eastAsia="Times New Roman" w:hAnsi="Times New Roman" w:cs="Times New Roman"/>
          <w:color w:val="222222"/>
          <w:sz w:val="24"/>
          <w:szCs w:val="24"/>
          <w:lang w:eastAsia="el-GR"/>
        </w:rPr>
        <w:t>τρίτη</w:t>
      </w:r>
      <w:r w:rsidR="00AC066D" w:rsidRPr="00723F4A">
        <w:rPr>
          <w:rFonts w:ascii="Times New Roman" w:eastAsia="Times New Roman" w:hAnsi="Times New Roman" w:cs="Times New Roman"/>
          <w:color w:val="222222"/>
          <w:sz w:val="24"/>
          <w:szCs w:val="24"/>
          <w:lang w:eastAsia="el-GR"/>
        </w:rPr>
        <w:t xml:space="preserve"> </w:t>
      </w:r>
      <w:r w:rsidR="00A75172">
        <w:rPr>
          <w:rFonts w:ascii="Times New Roman" w:eastAsia="Times New Roman" w:hAnsi="Times New Roman" w:cs="Times New Roman"/>
          <w:color w:val="222222"/>
          <w:sz w:val="24"/>
          <w:szCs w:val="24"/>
          <w:lang w:eastAsia="el-GR"/>
        </w:rPr>
        <w:t xml:space="preserve">κατά σειρά </w:t>
      </w:r>
      <w:r w:rsidR="0026638B">
        <w:rPr>
          <w:rFonts w:ascii="Times New Roman" w:eastAsia="Times New Roman" w:hAnsi="Times New Roman" w:cs="Times New Roman"/>
          <w:color w:val="222222"/>
          <w:sz w:val="24"/>
          <w:szCs w:val="24"/>
          <w:lang w:eastAsia="el-GR"/>
        </w:rPr>
        <w:t xml:space="preserve">έρευνα </w:t>
      </w:r>
      <w:r w:rsidR="00AC066D" w:rsidRPr="00723F4A">
        <w:rPr>
          <w:rFonts w:ascii="Times New Roman" w:eastAsia="Times New Roman" w:hAnsi="Times New Roman" w:cs="Times New Roman"/>
          <w:color w:val="222222"/>
          <w:sz w:val="24"/>
          <w:szCs w:val="24"/>
          <w:lang w:eastAsia="el-GR"/>
        </w:rPr>
        <w:t>που διεξάγεται υπό τις πρωτοφανείς συνθήκες που έχει διαμορφώσει η υγειονομική κρίση.</w:t>
      </w:r>
    </w:p>
    <w:p w14:paraId="4C86DECC" w14:textId="029172D3" w:rsidR="00A75172" w:rsidRDefault="00A75172" w:rsidP="00AC066D">
      <w:pPr>
        <w:spacing w:after="0" w:line="360" w:lineRule="auto"/>
        <w:jc w:val="both"/>
        <w:rPr>
          <w:rFonts w:ascii="Times New Roman" w:eastAsia="Times New Roman" w:hAnsi="Times New Roman" w:cs="Times New Roman"/>
          <w:bCs/>
          <w:sz w:val="24"/>
          <w:szCs w:val="24"/>
          <w:lang w:eastAsia="el-GR"/>
        </w:rPr>
      </w:pPr>
      <w:r w:rsidRPr="00A75172">
        <w:rPr>
          <w:rFonts w:ascii="Times New Roman" w:eastAsia="Times New Roman" w:hAnsi="Times New Roman" w:cs="Times New Roman"/>
          <w:bCs/>
          <w:sz w:val="24"/>
          <w:szCs w:val="24"/>
          <w:lang w:eastAsia="el-GR"/>
        </w:rPr>
        <w:t xml:space="preserve">Μετά την καθίζηση στο δείκτη οικονομικού κλίματος των </w:t>
      </w:r>
      <w:proofErr w:type="spellStart"/>
      <w:r w:rsidRPr="00A75172">
        <w:rPr>
          <w:rFonts w:ascii="Times New Roman" w:eastAsia="Times New Roman" w:hAnsi="Times New Roman" w:cs="Times New Roman"/>
          <w:bCs/>
          <w:sz w:val="24"/>
          <w:szCs w:val="24"/>
          <w:lang w:eastAsia="el-GR"/>
        </w:rPr>
        <w:t>Μ</w:t>
      </w:r>
      <w:r w:rsidR="005E3FEC">
        <w:rPr>
          <w:rFonts w:ascii="Times New Roman" w:eastAsia="Times New Roman" w:hAnsi="Times New Roman" w:cs="Times New Roman"/>
          <w:bCs/>
          <w:sz w:val="24"/>
          <w:szCs w:val="24"/>
          <w:lang w:eastAsia="el-GR"/>
        </w:rPr>
        <w:t>μ</w:t>
      </w:r>
      <w:r w:rsidRPr="00A75172">
        <w:rPr>
          <w:rFonts w:ascii="Times New Roman" w:eastAsia="Times New Roman" w:hAnsi="Times New Roman" w:cs="Times New Roman"/>
          <w:bCs/>
          <w:sz w:val="24"/>
          <w:szCs w:val="24"/>
          <w:lang w:eastAsia="el-GR"/>
        </w:rPr>
        <w:t>Ε</w:t>
      </w:r>
      <w:proofErr w:type="spellEnd"/>
      <w:r w:rsidRPr="00A75172">
        <w:rPr>
          <w:rFonts w:ascii="Times New Roman" w:eastAsia="Times New Roman" w:hAnsi="Times New Roman" w:cs="Times New Roman"/>
          <w:bCs/>
          <w:sz w:val="24"/>
          <w:szCs w:val="24"/>
          <w:lang w:eastAsia="el-GR"/>
        </w:rPr>
        <w:t xml:space="preserve"> που καταγράφηκε στις δυο προηγούμενες έρευνες του ΙΜΕ ΓΣΕΒΕΕ (Ιούλιος 2020 και Φεβρουάριος 2021), ο γενικός δείκτης σημειώνει σημαντική άνοδο 26,2 μονάδων</w:t>
      </w:r>
      <w:r w:rsidR="007029BA">
        <w:rPr>
          <w:rFonts w:ascii="Times New Roman" w:eastAsia="Times New Roman" w:hAnsi="Times New Roman" w:cs="Times New Roman"/>
          <w:bCs/>
          <w:sz w:val="24"/>
          <w:szCs w:val="24"/>
          <w:lang w:eastAsia="el-GR"/>
        </w:rPr>
        <w:t>,</w:t>
      </w:r>
      <w:r w:rsidRPr="00A75172">
        <w:rPr>
          <w:rFonts w:ascii="Times New Roman" w:eastAsia="Times New Roman" w:hAnsi="Times New Roman" w:cs="Times New Roman"/>
          <w:bCs/>
          <w:sz w:val="24"/>
          <w:szCs w:val="24"/>
          <w:lang w:eastAsia="el-GR"/>
        </w:rPr>
        <w:t xml:space="preserve"> καθώς διαμορφώνεται </w:t>
      </w:r>
      <w:r w:rsidR="00045567" w:rsidRPr="004A2C6A">
        <w:rPr>
          <w:rFonts w:ascii="Times New Roman" w:eastAsia="Times New Roman" w:hAnsi="Times New Roman" w:cs="Times New Roman"/>
          <w:bCs/>
          <w:sz w:val="24"/>
          <w:szCs w:val="24"/>
          <w:lang w:eastAsia="el-GR"/>
        </w:rPr>
        <w:t>στις</w:t>
      </w:r>
      <w:r w:rsidR="00045567">
        <w:rPr>
          <w:rFonts w:ascii="Times New Roman" w:eastAsia="Times New Roman" w:hAnsi="Times New Roman" w:cs="Times New Roman"/>
          <w:bCs/>
          <w:sz w:val="24"/>
          <w:szCs w:val="24"/>
          <w:lang w:eastAsia="el-GR"/>
        </w:rPr>
        <w:t xml:space="preserve"> </w:t>
      </w:r>
      <w:r w:rsidRPr="00A75172">
        <w:rPr>
          <w:rFonts w:ascii="Times New Roman" w:eastAsia="Times New Roman" w:hAnsi="Times New Roman" w:cs="Times New Roman"/>
          <w:bCs/>
          <w:sz w:val="24"/>
          <w:szCs w:val="24"/>
          <w:lang w:eastAsia="el-GR"/>
        </w:rPr>
        <w:t>46,3 μονάδες για το Α</w:t>
      </w:r>
      <w:r w:rsidR="006868E2">
        <w:rPr>
          <w:rFonts w:ascii="Times New Roman" w:eastAsia="Times New Roman" w:hAnsi="Times New Roman" w:cs="Times New Roman"/>
          <w:bCs/>
          <w:sz w:val="24"/>
          <w:szCs w:val="24"/>
          <w:lang w:eastAsia="el-GR"/>
        </w:rPr>
        <w:t>’</w:t>
      </w:r>
      <w:r w:rsidRPr="00A75172">
        <w:rPr>
          <w:rFonts w:ascii="Times New Roman" w:eastAsia="Times New Roman" w:hAnsi="Times New Roman" w:cs="Times New Roman"/>
          <w:bCs/>
          <w:sz w:val="24"/>
          <w:szCs w:val="24"/>
          <w:lang w:eastAsia="el-GR"/>
        </w:rPr>
        <w:t xml:space="preserve"> εξάμηνο του 2021.</w:t>
      </w:r>
      <w:r>
        <w:rPr>
          <w:rFonts w:ascii="Times New Roman" w:eastAsia="Times New Roman" w:hAnsi="Times New Roman" w:cs="Times New Roman"/>
          <w:bCs/>
          <w:sz w:val="24"/>
          <w:szCs w:val="24"/>
          <w:lang w:eastAsia="el-GR"/>
        </w:rPr>
        <w:t xml:space="preserve"> Παραμένει, ωστόσο, </w:t>
      </w:r>
      <w:r w:rsidR="007029BA">
        <w:rPr>
          <w:rFonts w:ascii="Times New Roman" w:eastAsia="Times New Roman" w:hAnsi="Times New Roman" w:cs="Times New Roman"/>
          <w:bCs/>
          <w:sz w:val="24"/>
          <w:szCs w:val="24"/>
          <w:lang w:eastAsia="el-GR"/>
        </w:rPr>
        <w:t>χαμηλότερα</w:t>
      </w:r>
      <w:r>
        <w:rPr>
          <w:rFonts w:ascii="Times New Roman" w:eastAsia="Times New Roman" w:hAnsi="Times New Roman" w:cs="Times New Roman"/>
          <w:bCs/>
          <w:sz w:val="24"/>
          <w:szCs w:val="24"/>
          <w:lang w:eastAsia="el-GR"/>
        </w:rPr>
        <w:t xml:space="preserve"> σε σχέση με τα προ πανδημίας επίπεδα.</w:t>
      </w:r>
    </w:p>
    <w:p w14:paraId="5145EFAD" w14:textId="2EB7134E" w:rsidR="00A75172" w:rsidRDefault="00A75172" w:rsidP="00AC066D">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Η εξέλιξη αυτή υποδηλώνει πως τα μέτρα στήριξης της ελληνικής οικονομίας σε συνδυασμό με την σταδιακή άρση των περιοριστικών μέτρων στην οικονομική δραστηριότητα, που κατέστ</w:t>
      </w:r>
      <w:r w:rsidR="006868E2">
        <w:rPr>
          <w:rFonts w:ascii="Times New Roman" w:eastAsia="Times New Roman" w:hAnsi="Times New Roman" w:cs="Times New Roman"/>
          <w:bCs/>
          <w:sz w:val="24"/>
          <w:szCs w:val="24"/>
          <w:lang w:eastAsia="el-GR"/>
        </w:rPr>
        <w:t>η</w:t>
      </w:r>
      <w:r>
        <w:rPr>
          <w:rFonts w:ascii="Times New Roman" w:eastAsia="Times New Roman" w:hAnsi="Times New Roman" w:cs="Times New Roman"/>
          <w:bCs/>
          <w:sz w:val="24"/>
          <w:szCs w:val="24"/>
          <w:lang w:eastAsia="el-GR"/>
        </w:rPr>
        <w:t xml:space="preserve"> εφικτή κυρίως από την πρόοδο στους εμβολιασμούς, έχει επιτρέψει στις μικρές και πολύ μικρές επιχειρήσεις να παραμείνουν «ζωντανές».</w:t>
      </w:r>
    </w:p>
    <w:p w14:paraId="538BE87D" w14:textId="5D613FA6" w:rsidR="003F27C8" w:rsidRDefault="00A75172" w:rsidP="00AC066D">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Ωστόσο, όπως προκύπτει από τα ευρήματα της έρευνας, </w:t>
      </w:r>
      <w:r w:rsidR="007029BA">
        <w:rPr>
          <w:rFonts w:ascii="Times New Roman" w:eastAsia="Times New Roman" w:hAnsi="Times New Roman" w:cs="Times New Roman"/>
          <w:bCs/>
          <w:sz w:val="24"/>
          <w:szCs w:val="24"/>
          <w:lang w:eastAsia="el-GR"/>
        </w:rPr>
        <w:t>ένα μεγάλο μέρος των επιχειρήσεων συνεχίζει να αντιμετωπίζει σοβαρά προβλήματα βιωσιμότητας</w:t>
      </w:r>
      <w:r w:rsidR="00256AE0">
        <w:rPr>
          <w:rFonts w:ascii="Times New Roman" w:eastAsia="Times New Roman" w:hAnsi="Times New Roman" w:cs="Times New Roman"/>
          <w:bCs/>
          <w:sz w:val="24"/>
          <w:szCs w:val="24"/>
          <w:lang w:eastAsia="el-GR"/>
        </w:rPr>
        <w:t xml:space="preserve">. </w:t>
      </w:r>
      <w:r w:rsidR="005E3FEC">
        <w:rPr>
          <w:rFonts w:ascii="Times New Roman" w:eastAsia="Times New Roman" w:hAnsi="Times New Roman" w:cs="Times New Roman"/>
          <w:bCs/>
          <w:sz w:val="24"/>
          <w:szCs w:val="24"/>
          <w:lang w:eastAsia="el-GR"/>
        </w:rPr>
        <w:t>Η έλλειψη ρευστότητα</w:t>
      </w:r>
      <w:r w:rsidR="00AF06F5">
        <w:rPr>
          <w:rFonts w:ascii="Times New Roman" w:eastAsia="Times New Roman" w:hAnsi="Times New Roman" w:cs="Times New Roman"/>
          <w:bCs/>
          <w:sz w:val="24"/>
          <w:szCs w:val="24"/>
          <w:lang w:eastAsia="el-GR"/>
        </w:rPr>
        <w:t>ς</w:t>
      </w:r>
      <w:r w:rsidR="005E3FEC">
        <w:rPr>
          <w:rFonts w:ascii="Times New Roman" w:eastAsia="Times New Roman" w:hAnsi="Times New Roman" w:cs="Times New Roman"/>
          <w:bCs/>
          <w:sz w:val="24"/>
          <w:szCs w:val="24"/>
          <w:lang w:eastAsia="el-GR"/>
        </w:rPr>
        <w:t xml:space="preserve"> π</w:t>
      </w:r>
      <w:r w:rsidR="005E3FEC" w:rsidRPr="005E3FEC">
        <w:rPr>
          <w:rFonts w:ascii="Times New Roman" w:eastAsia="Times New Roman" w:hAnsi="Times New Roman" w:cs="Times New Roman"/>
          <w:bCs/>
          <w:sz w:val="24"/>
          <w:szCs w:val="24"/>
          <w:lang w:eastAsia="el-GR"/>
        </w:rPr>
        <w:t xml:space="preserve">αραμένει το πρόβλημα για τις </w:t>
      </w:r>
      <w:proofErr w:type="spellStart"/>
      <w:r w:rsidR="005E3FEC" w:rsidRPr="005E3FEC">
        <w:rPr>
          <w:rFonts w:ascii="Times New Roman" w:eastAsia="Times New Roman" w:hAnsi="Times New Roman" w:cs="Times New Roman"/>
          <w:bCs/>
          <w:sz w:val="24"/>
          <w:szCs w:val="24"/>
          <w:lang w:eastAsia="el-GR"/>
        </w:rPr>
        <w:lastRenderedPageBreak/>
        <w:t>ΜμΕ</w:t>
      </w:r>
      <w:proofErr w:type="spellEnd"/>
      <w:r w:rsidR="005E3FEC">
        <w:rPr>
          <w:rFonts w:ascii="Times New Roman" w:eastAsia="Times New Roman" w:hAnsi="Times New Roman" w:cs="Times New Roman"/>
          <w:bCs/>
          <w:sz w:val="24"/>
          <w:szCs w:val="24"/>
          <w:lang w:eastAsia="el-GR"/>
        </w:rPr>
        <w:t xml:space="preserve"> </w:t>
      </w:r>
      <w:r w:rsidR="005E3FEC" w:rsidRPr="005E3FEC">
        <w:rPr>
          <w:rFonts w:ascii="Times New Roman" w:eastAsia="Times New Roman" w:hAnsi="Times New Roman" w:cs="Times New Roman"/>
          <w:bCs/>
          <w:sz w:val="24"/>
          <w:szCs w:val="24"/>
          <w:lang w:eastAsia="el-GR"/>
        </w:rPr>
        <w:t>και διατρέχει τον κίνδυνο να γίνει χρόνιο</w:t>
      </w:r>
      <w:r w:rsidR="005E3FEC">
        <w:rPr>
          <w:rFonts w:ascii="Times New Roman" w:eastAsia="Times New Roman" w:hAnsi="Times New Roman" w:cs="Times New Roman"/>
          <w:bCs/>
          <w:sz w:val="24"/>
          <w:szCs w:val="24"/>
          <w:lang w:eastAsia="el-GR"/>
        </w:rPr>
        <w:t xml:space="preserve">, ιδιαίτερα </w:t>
      </w:r>
      <w:r w:rsidR="007029BA">
        <w:rPr>
          <w:rFonts w:ascii="Times New Roman" w:eastAsia="Times New Roman" w:hAnsi="Times New Roman" w:cs="Times New Roman"/>
          <w:bCs/>
          <w:sz w:val="24"/>
          <w:szCs w:val="24"/>
          <w:lang w:eastAsia="el-GR"/>
        </w:rPr>
        <w:t xml:space="preserve">για </w:t>
      </w:r>
      <w:r w:rsidR="00256AE0" w:rsidRPr="00256AE0">
        <w:rPr>
          <w:rFonts w:ascii="Times New Roman" w:eastAsia="Times New Roman" w:hAnsi="Times New Roman" w:cs="Times New Roman"/>
          <w:bCs/>
          <w:sz w:val="24"/>
          <w:szCs w:val="24"/>
          <w:lang w:eastAsia="el-GR"/>
        </w:rPr>
        <w:t>τις επιχειρήσεις που ανέστειλαν τη λειτουργία τους με κρατική εντολή</w:t>
      </w:r>
      <w:r w:rsidR="005E3FEC">
        <w:rPr>
          <w:rFonts w:ascii="Times New Roman" w:eastAsia="Times New Roman" w:hAnsi="Times New Roman" w:cs="Times New Roman"/>
          <w:bCs/>
          <w:sz w:val="24"/>
          <w:szCs w:val="24"/>
          <w:lang w:eastAsia="el-GR"/>
        </w:rPr>
        <w:t>,</w:t>
      </w:r>
      <w:r w:rsidR="00256AE0">
        <w:rPr>
          <w:rFonts w:ascii="Times New Roman" w:eastAsia="Times New Roman" w:hAnsi="Times New Roman" w:cs="Times New Roman"/>
          <w:bCs/>
          <w:sz w:val="24"/>
          <w:szCs w:val="24"/>
          <w:lang w:eastAsia="el-GR"/>
        </w:rPr>
        <w:t xml:space="preserve"> </w:t>
      </w:r>
      <w:r w:rsidR="005E3FEC">
        <w:rPr>
          <w:rFonts w:ascii="Times New Roman" w:eastAsia="Times New Roman" w:hAnsi="Times New Roman" w:cs="Times New Roman"/>
          <w:bCs/>
          <w:sz w:val="24"/>
          <w:szCs w:val="24"/>
          <w:lang w:eastAsia="el-GR"/>
        </w:rPr>
        <w:t>όπως οι</w:t>
      </w:r>
      <w:r w:rsidR="00256AE0">
        <w:rPr>
          <w:rFonts w:ascii="Times New Roman" w:eastAsia="Times New Roman" w:hAnsi="Times New Roman" w:cs="Times New Roman"/>
          <w:bCs/>
          <w:sz w:val="24"/>
          <w:szCs w:val="24"/>
          <w:lang w:eastAsia="el-GR"/>
        </w:rPr>
        <w:t xml:space="preserve"> επιχειρήσεις</w:t>
      </w:r>
      <w:r w:rsidR="005E3FEC">
        <w:rPr>
          <w:rFonts w:ascii="Times New Roman" w:eastAsia="Times New Roman" w:hAnsi="Times New Roman" w:cs="Times New Roman"/>
          <w:bCs/>
          <w:sz w:val="24"/>
          <w:szCs w:val="24"/>
          <w:lang w:eastAsia="el-GR"/>
        </w:rPr>
        <w:t xml:space="preserve"> του κλάδου της</w:t>
      </w:r>
      <w:r w:rsidR="00256AE0">
        <w:rPr>
          <w:rFonts w:ascii="Times New Roman" w:eastAsia="Times New Roman" w:hAnsi="Times New Roman" w:cs="Times New Roman"/>
          <w:bCs/>
          <w:sz w:val="24"/>
          <w:szCs w:val="24"/>
          <w:lang w:eastAsia="el-GR"/>
        </w:rPr>
        <w:t xml:space="preserve"> εστίασης</w:t>
      </w:r>
      <w:r w:rsidR="00256AE0" w:rsidRPr="00256AE0">
        <w:rPr>
          <w:rFonts w:ascii="Times New Roman" w:eastAsia="Times New Roman" w:hAnsi="Times New Roman" w:cs="Times New Roman"/>
          <w:bCs/>
          <w:sz w:val="24"/>
          <w:szCs w:val="24"/>
          <w:lang w:eastAsia="el-GR"/>
        </w:rPr>
        <w:t>.</w:t>
      </w:r>
      <w:r w:rsidR="00256AE0">
        <w:rPr>
          <w:rFonts w:ascii="Times New Roman" w:eastAsia="Times New Roman" w:hAnsi="Times New Roman" w:cs="Times New Roman"/>
          <w:bCs/>
          <w:sz w:val="24"/>
          <w:szCs w:val="24"/>
          <w:lang w:eastAsia="el-GR"/>
        </w:rPr>
        <w:t xml:space="preserve"> </w:t>
      </w:r>
      <w:r w:rsidR="005E3FEC">
        <w:rPr>
          <w:rFonts w:ascii="Times New Roman" w:eastAsia="Times New Roman" w:hAnsi="Times New Roman" w:cs="Times New Roman"/>
          <w:bCs/>
          <w:sz w:val="24"/>
          <w:szCs w:val="24"/>
          <w:lang w:eastAsia="el-GR"/>
        </w:rPr>
        <w:t>Τ</w:t>
      </w:r>
      <w:r w:rsidR="00256AE0">
        <w:rPr>
          <w:rFonts w:ascii="Times New Roman" w:eastAsia="Times New Roman" w:hAnsi="Times New Roman" w:cs="Times New Roman"/>
          <w:bCs/>
          <w:sz w:val="24"/>
          <w:szCs w:val="24"/>
          <w:lang w:eastAsia="el-GR"/>
        </w:rPr>
        <w:t xml:space="preserve">ο παρατεταμένο διάστημα που οι επιχειρήσεις αυτές υπολειτούργησαν </w:t>
      </w:r>
      <w:r w:rsidR="0026638B">
        <w:rPr>
          <w:rFonts w:ascii="Times New Roman" w:eastAsia="Times New Roman" w:hAnsi="Times New Roman" w:cs="Times New Roman"/>
          <w:bCs/>
          <w:sz w:val="24"/>
          <w:szCs w:val="24"/>
          <w:lang w:eastAsia="el-GR"/>
        </w:rPr>
        <w:t>(</w:t>
      </w:r>
      <w:r w:rsidR="00256AE0">
        <w:rPr>
          <w:rFonts w:ascii="Times New Roman" w:eastAsia="Times New Roman" w:hAnsi="Times New Roman" w:cs="Times New Roman"/>
          <w:bCs/>
          <w:sz w:val="24"/>
          <w:szCs w:val="24"/>
          <w:lang w:eastAsia="el-GR"/>
        </w:rPr>
        <w:t>ή δεν λειτούργησαν</w:t>
      </w:r>
      <w:r w:rsidR="0026638B">
        <w:rPr>
          <w:rFonts w:ascii="Times New Roman" w:eastAsia="Times New Roman" w:hAnsi="Times New Roman" w:cs="Times New Roman"/>
          <w:bCs/>
          <w:sz w:val="24"/>
          <w:szCs w:val="24"/>
          <w:lang w:eastAsia="el-GR"/>
        </w:rPr>
        <w:t>)</w:t>
      </w:r>
      <w:r w:rsidR="00256AE0">
        <w:rPr>
          <w:rFonts w:ascii="Times New Roman" w:eastAsia="Times New Roman" w:hAnsi="Times New Roman" w:cs="Times New Roman"/>
          <w:bCs/>
          <w:sz w:val="24"/>
          <w:szCs w:val="24"/>
          <w:lang w:eastAsia="el-GR"/>
        </w:rPr>
        <w:t xml:space="preserve"> τις έχει επιβαρύνει ιδιαίτερα, διατηρώντας υψηλά τον κίνδυνο βιωσιμότητας που αντιμετωπίζουν</w:t>
      </w:r>
      <w:r w:rsidR="005E3FEC">
        <w:rPr>
          <w:rFonts w:ascii="Times New Roman" w:eastAsia="Times New Roman" w:hAnsi="Times New Roman" w:cs="Times New Roman"/>
          <w:bCs/>
          <w:sz w:val="24"/>
          <w:szCs w:val="24"/>
          <w:lang w:eastAsia="el-GR"/>
        </w:rPr>
        <w:t>,</w:t>
      </w:r>
      <w:r w:rsidR="00256AE0">
        <w:rPr>
          <w:rFonts w:ascii="Times New Roman" w:eastAsia="Times New Roman" w:hAnsi="Times New Roman" w:cs="Times New Roman"/>
          <w:bCs/>
          <w:sz w:val="24"/>
          <w:szCs w:val="24"/>
          <w:lang w:eastAsia="el-GR"/>
        </w:rPr>
        <w:t xml:space="preserve"> παρά </w:t>
      </w:r>
      <w:r w:rsidR="006E2749">
        <w:rPr>
          <w:rFonts w:ascii="Times New Roman" w:eastAsia="Times New Roman" w:hAnsi="Times New Roman" w:cs="Times New Roman"/>
          <w:bCs/>
          <w:sz w:val="24"/>
          <w:szCs w:val="24"/>
          <w:lang w:eastAsia="el-GR"/>
        </w:rPr>
        <w:t xml:space="preserve">μάλιστα </w:t>
      </w:r>
      <w:r w:rsidR="00256AE0">
        <w:rPr>
          <w:rFonts w:ascii="Times New Roman" w:eastAsia="Times New Roman" w:hAnsi="Times New Roman" w:cs="Times New Roman"/>
          <w:bCs/>
          <w:sz w:val="24"/>
          <w:szCs w:val="24"/>
          <w:lang w:eastAsia="el-GR"/>
        </w:rPr>
        <w:t xml:space="preserve">τα μέτρα στήριξης που </w:t>
      </w:r>
      <w:r w:rsidR="003F27C8">
        <w:rPr>
          <w:rFonts w:ascii="Times New Roman" w:eastAsia="Times New Roman" w:hAnsi="Times New Roman" w:cs="Times New Roman"/>
          <w:bCs/>
          <w:sz w:val="24"/>
          <w:szCs w:val="24"/>
          <w:lang w:eastAsia="el-GR"/>
        </w:rPr>
        <w:t>υιοθετηθήκαν</w:t>
      </w:r>
      <w:r w:rsidR="00256AE0">
        <w:rPr>
          <w:rFonts w:ascii="Times New Roman" w:eastAsia="Times New Roman" w:hAnsi="Times New Roman" w:cs="Times New Roman"/>
          <w:bCs/>
          <w:sz w:val="24"/>
          <w:szCs w:val="24"/>
          <w:lang w:eastAsia="el-GR"/>
        </w:rPr>
        <w:t xml:space="preserve">. </w:t>
      </w:r>
    </w:p>
    <w:p w14:paraId="3B15E4CF" w14:textId="24345E89" w:rsidR="00256AE0" w:rsidRDefault="006E2749" w:rsidP="003F27C8">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Έτσι</w:t>
      </w:r>
      <w:r w:rsidR="003F27C8">
        <w:rPr>
          <w:rFonts w:ascii="Times New Roman" w:eastAsia="Times New Roman" w:hAnsi="Times New Roman" w:cs="Times New Roman"/>
          <w:bCs/>
          <w:sz w:val="24"/>
          <w:szCs w:val="24"/>
          <w:lang w:eastAsia="el-GR"/>
        </w:rPr>
        <w:t xml:space="preserve">, υψηλά παραμένουν τα ποσοστά των επιχειρήσεων που έχουν μειωμένη ή/και καθόλου ρευστότητα. </w:t>
      </w:r>
      <w:r w:rsidR="003F27C8" w:rsidRPr="003F27C8">
        <w:rPr>
          <w:rFonts w:ascii="Times New Roman" w:eastAsia="Times New Roman" w:hAnsi="Times New Roman" w:cs="Times New Roman"/>
          <w:bCs/>
          <w:sz w:val="24"/>
          <w:szCs w:val="24"/>
          <w:lang w:eastAsia="el-GR"/>
        </w:rPr>
        <w:t>Συγκεκριμένα</w:t>
      </w:r>
      <w:r>
        <w:rPr>
          <w:rFonts w:ascii="Times New Roman" w:eastAsia="Times New Roman" w:hAnsi="Times New Roman" w:cs="Times New Roman"/>
          <w:bCs/>
          <w:sz w:val="24"/>
          <w:szCs w:val="24"/>
          <w:lang w:eastAsia="el-GR"/>
        </w:rPr>
        <w:t>,</w:t>
      </w:r>
      <w:r w:rsidR="003F27C8" w:rsidRPr="003F27C8">
        <w:rPr>
          <w:rFonts w:ascii="Times New Roman" w:eastAsia="Times New Roman" w:hAnsi="Times New Roman" w:cs="Times New Roman"/>
          <w:bCs/>
          <w:sz w:val="24"/>
          <w:szCs w:val="24"/>
          <w:lang w:eastAsia="el-GR"/>
        </w:rPr>
        <w:t xml:space="preserve"> </w:t>
      </w:r>
      <w:r w:rsidR="003F27C8">
        <w:rPr>
          <w:rFonts w:ascii="Times New Roman" w:eastAsia="Times New Roman" w:hAnsi="Times New Roman" w:cs="Times New Roman"/>
          <w:bCs/>
          <w:sz w:val="24"/>
          <w:szCs w:val="24"/>
          <w:lang w:eastAsia="el-GR"/>
        </w:rPr>
        <w:t xml:space="preserve">4 στις 10 μικρές και πολύ μικρές επιχειρήσεις (42,4%) έχουν ταμειακά διαθέσιμα το πολύ για ένα μήνα. Μάλιστα </w:t>
      </w:r>
      <w:r w:rsidR="003F27C8" w:rsidRPr="003F27C8">
        <w:rPr>
          <w:rFonts w:ascii="Times New Roman" w:eastAsia="Times New Roman" w:hAnsi="Times New Roman" w:cs="Times New Roman"/>
          <w:bCs/>
          <w:sz w:val="24"/>
          <w:szCs w:val="24"/>
          <w:lang w:eastAsia="el-GR"/>
        </w:rPr>
        <w:t>1 στις 5 επιχειρήσεις (21,4%) δεν έχ</w:t>
      </w:r>
      <w:r w:rsidR="003F27C8">
        <w:rPr>
          <w:rFonts w:ascii="Times New Roman" w:eastAsia="Times New Roman" w:hAnsi="Times New Roman" w:cs="Times New Roman"/>
          <w:bCs/>
          <w:sz w:val="24"/>
          <w:szCs w:val="24"/>
          <w:lang w:eastAsia="el-GR"/>
        </w:rPr>
        <w:t xml:space="preserve">ει καθόλου </w:t>
      </w:r>
      <w:r w:rsidR="007029BA">
        <w:rPr>
          <w:rFonts w:ascii="Times New Roman" w:eastAsia="Times New Roman" w:hAnsi="Times New Roman" w:cs="Times New Roman"/>
          <w:bCs/>
          <w:sz w:val="24"/>
          <w:szCs w:val="24"/>
          <w:lang w:eastAsia="el-GR"/>
        </w:rPr>
        <w:t>ρευστότητα</w:t>
      </w:r>
      <w:r w:rsidR="003F27C8">
        <w:rPr>
          <w:rFonts w:ascii="Times New Roman" w:eastAsia="Times New Roman" w:hAnsi="Times New Roman" w:cs="Times New Roman"/>
          <w:bCs/>
          <w:sz w:val="24"/>
          <w:szCs w:val="24"/>
          <w:lang w:eastAsia="el-GR"/>
        </w:rPr>
        <w:t>.</w:t>
      </w:r>
    </w:p>
    <w:p w14:paraId="2691A90A" w14:textId="7B9B5721" w:rsidR="003F27C8" w:rsidRDefault="007029BA" w:rsidP="003F27C8">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Δ</w:t>
      </w:r>
      <w:r w:rsidR="003F27C8">
        <w:rPr>
          <w:rFonts w:ascii="Times New Roman" w:eastAsia="Times New Roman" w:hAnsi="Times New Roman" w:cs="Times New Roman"/>
          <w:bCs/>
          <w:sz w:val="24"/>
          <w:szCs w:val="24"/>
          <w:lang w:eastAsia="el-GR"/>
        </w:rPr>
        <w:t>εν είναι</w:t>
      </w:r>
      <w:r>
        <w:rPr>
          <w:rFonts w:ascii="Times New Roman" w:eastAsia="Times New Roman" w:hAnsi="Times New Roman" w:cs="Times New Roman"/>
          <w:bCs/>
          <w:sz w:val="24"/>
          <w:szCs w:val="24"/>
          <w:lang w:eastAsia="el-GR"/>
        </w:rPr>
        <w:t>, συνεπώς,</w:t>
      </w:r>
      <w:r w:rsidR="003F27C8">
        <w:rPr>
          <w:rFonts w:ascii="Times New Roman" w:eastAsia="Times New Roman" w:hAnsi="Times New Roman" w:cs="Times New Roman"/>
          <w:bCs/>
          <w:sz w:val="24"/>
          <w:szCs w:val="24"/>
          <w:lang w:eastAsia="el-GR"/>
        </w:rPr>
        <w:t xml:space="preserve"> παράδοξο που το ποσοστό των επιχειρήσεων που </w:t>
      </w:r>
      <w:r w:rsidR="003F27C8" w:rsidRPr="003F27C8">
        <w:rPr>
          <w:rFonts w:ascii="Times New Roman" w:eastAsia="Times New Roman" w:hAnsi="Times New Roman" w:cs="Times New Roman"/>
          <w:bCs/>
          <w:sz w:val="24"/>
          <w:szCs w:val="24"/>
          <w:lang w:eastAsia="el-GR"/>
        </w:rPr>
        <w:t>εκφράζει το φόβο για ενδεχόμενη διακοπή της δραστηριότητας του το επόμενο διάστημα</w:t>
      </w:r>
      <w:r w:rsidR="003F27C8">
        <w:rPr>
          <w:rFonts w:ascii="Times New Roman" w:eastAsia="Times New Roman" w:hAnsi="Times New Roman" w:cs="Times New Roman"/>
          <w:bCs/>
          <w:sz w:val="24"/>
          <w:szCs w:val="24"/>
          <w:lang w:eastAsia="el-GR"/>
        </w:rPr>
        <w:t xml:space="preserve"> παραμένει ιδιαίτερα υψηλό</w:t>
      </w:r>
      <w:r w:rsidR="00AF06F5">
        <w:rPr>
          <w:rFonts w:ascii="Times New Roman" w:eastAsia="Times New Roman" w:hAnsi="Times New Roman" w:cs="Times New Roman"/>
          <w:bCs/>
          <w:sz w:val="24"/>
          <w:szCs w:val="24"/>
          <w:lang w:eastAsia="el-GR"/>
        </w:rPr>
        <w:t xml:space="preserve"> (36,7%)</w:t>
      </w:r>
      <w:r w:rsidR="003F27C8">
        <w:rPr>
          <w:rFonts w:ascii="Times New Roman" w:eastAsia="Times New Roman" w:hAnsi="Times New Roman" w:cs="Times New Roman"/>
          <w:bCs/>
          <w:sz w:val="24"/>
          <w:szCs w:val="24"/>
          <w:lang w:eastAsia="el-GR"/>
        </w:rPr>
        <w:t xml:space="preserve">. </w:t>
      </w:r>
    </w:p>
    <w:p w14:paraId="2F63FEF5" w14:textId="3F9D83C9" w:rsidR="003F27C8" w:rsidRDefault="003F27C8" w:rsidP="001C669A">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Στα παραπάνω προβληματικά στοιχεία προστίθεται και ένα καινούργιο. Η σημαντική άνοδος των τιμών που μειώνει τα εισοδήματα νοικοκυριών και επιχειρήσεων</w:t>
      </w:r>
      <w:r w:rsidR="007F41AD">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ναρκοθετώντας τις προοπτικές ανάκαμψης της ελληνικής οικονομίας. </w:t>
      </w:r>
      <w:r w:rsidRPr="003F27C8">
        <w:rPr>
          <w:rFonts w:ascii="Times New Roman" w:eastAsia="Times New Roman" w:hAnsi="Times New Roman" w:cs="Times New Roman"/>
          <w:bCs/>
          <w:sz w:val="24"/>
          <w:szCs w:val="24"/>
          <w:lang w:eastAsia="el-GR"/>
        </w:rPr>
        <w:t xml:space="preserve">Για τις τιμές αγαθών/υπηρεσιών είναι η πρώτη φορά σε </w:t>
      </w:r>
      <w:r w:rsidR="001C669A">
        <w:rPr>
          <w:rFonts w:ascii="Times New Roman" w:eastAsia="Times New Roman" w:hAnsi="Times New Roman" w:cs="Times New Roman"/>
          <w:bCs/>
          <w:sz w:val="24"/>
          <w:szCs w:val="24"/>
          <w:lang w:eastAsia="el-GR"/>
        </w:rPr>
        <w:t xml:space="preserve">εξαμηνιαία </w:t>
      </w:r>
      <w:r w:rsidRPr="003F27C8">
        <w:rPr>
          <w:rFonts w:ascii="Times New Roman" w:eastAsia="Times New Roman" w:hAnsi="Times New Roman" w:cs="Times New Roman"/>
          <w:bCs/>
          <w:sz w:val="24"/>
          <w:szCs w:val="24"/>
          <w:lang w:eastAsia="el-GR"/>
        </w:rPr>
        <w:t xml:space="preserve">έρευνα κλίματος του ΙΜΕ ΓΣΕΒΕΕ </w:t>
      </w:r>
      <w:r w:rsidR="00045567" w:rsidRPr="004A2C6A">
        <w:rPr>
          <w:rFonts w:ascii="Times New Roman" w:eastAsia="Times New Roman" w:hAnsi="Times New Roman" w:cs="Times New Roman"/>
          <w:bCs/>
          <w:sz w:val="24"/>
          <w:szCs w:val="24"/>
          <w:lang w:eastAsia="el-GR"/>
        </w:rPr>
        <w:t>που</w:t>
      </w:r>
      <w:r w:rsidR="00AF06F5">
        <w:rPr>
          <w:rFonts w:ascii="Times New Roman" w:eastAsia="Times New Roman" w:hAnsi="Times New Roman" w:cs="Times New Roman"/>
          <w:bCs/>
          <w:sz w:val="24"/>
          <w:szCs w:val="24"/>
          <w:lang w:eastAsia="el-GR"/>
        </w:rPr>
        <w:t xml:space="preserve"> </w:t>
      </w:r>
      <w:r w:rsidR="007F41AD">
        <w:rPr>
          <w:rFonts w:ascii="Times New Roman" w:eastAsia="Times New Roman" w:hAnsi="Times New Roman" w:cs="Times New Roman"/>
          <w:bCs/>
          <w:sz w:val="24"/>
          <w:szCs w:val="24"/>
          <w:lang w:eastAsia="el-GR"/>
        </w:rPr>
        <w:t>κ</w:t>
      </w:r>
      <w:r w:rsidRPr="003F27C8">
        <w:rPr>
          <w:rFonts w:ascii="Times New Roman" w:eastAsia="Times New Roman" w:hAnsi="Times New Roman" w:cs="Times New Roman"/>
          <w:bCs/>
          <w:sz w:val="24"/>
          <w:szCs w:val="24"/>
          <w:lang w:eastAsia="el-GR"/>
        </w:rPr>
        <w:t xml:space="preserve">αταγράφεται </w:t>
      </w:r>
      <w:r w:rsidR="001C669A">
        <w:rPr>
          <w:rFonts w:ascii="Times New Roman" w:eastAsia="Times New Roman" w:hAnsi="Times New Roman" w:cs="Times New Roman"/>
          <w:bCs/>
          <w:sz w:val="24"/>
          <w:szCs w:val="24"/>
          <w:lang w:eastAsia="el-GR"/>
        </w:rPr>
        <w:t>τόσο υψηλό ποσοστό επιχειρήσεων</w:t>
      </w:r>
      <w:r w:rsidRPr="003F27C8">
        <w:rPr>
          <w:rFonts w:ascii="Times New Roman" w:eastAsia="Times New Roman" w:hAnsi="Times New Roman" w:cs="Times New Roman"/>
          <w:bCs/>
          <w:sz w:val="24"/>
          <w:szCs w:val="24"/>
          <w:lang w:eastAsia="el-GR"/>
        </w:rPr>
        <w:t xml:space="preserve"> που δήλωσ</w:t>
      </w:r>
      <w:r w:rsidR="006E2749">
        <w:rPr>
          <w:rFonts w:ascii="Times New Roman" w:eastAsia="Times New Roman" w:hAnsi="Times New Roman" w:cs="Times New Roman"/>
          <w:bCs/>
          <w:sz w:val="24"/>
          <w:szCs w:val="24"/>
          <w:lang w:eastAsia="el-GR"/>
        </w:rPr>
        <w:t>ε</w:t>
      </w:r>
      <w:r w:rsidRPr="003F27C8">
        <w:rPr>
          <w:rFonts w:ascii="Times New Roman" w:eastAsia="Times New Roman" w:hAnsi="Times New Roman" w:cs="Times New Roman"/>
          <w:bCs/>
          <w:sz w:val="24"/>
          <w:szCs w:val="24"/>
          <w:lang w:eastAsia="el-GR"/>
        </w:rPr>
        <w:t xml:space="preserve"> πως αύξησ</w:t>
      </w:r>
      <w:r w:rsidR="006E2749">
        <w:rPr>
          <w:rFonts w:ascii="Times New Roman" w:eastAsia="Times New Roman" w:hAnsi="Times New Roman" w:cs="Times New Roman"/>
          <w:bCs/>
          <w:sz w:val="24"/>
          <w:szCs w:val="24"/>
          <w:lang w:eastAsia="el-GR"/>
        </w:rPr>
        <w:t>ε</w:t>
      </w:r>
      <w:r w:rsidRPr="003F27C8">
        <w:rPr>
          <w:rFonts w:ascii="Times New Roman" w:eastAsia="Times New Roman" w:hAnsi="Times New Roman" w:cs="Times New Roman"/>
          <w:bCs/>
          <w:sz w:val="24"/>
          <w:szCs w:val="24"/>
          <w:lang w:eastAsia="el-GR"/>
        </w:rPr>
        <w:t xml:space="preserve"> τις τιμές </w:t>
      </w:r>
      <w:r w:rsidR="001C669A">
        <w:rPr>
          <w:rFonts w:ascii="Times New Roman" w:eastAsia="Times New Roman" w:hAnsi="Times New Roman" w:cs="Times New Roman"/>
          <w:bCs/>
          <w:sz w:val="24"/>
          <w:szCs w:val="24"/>
          <w:lang w:eastAsia="el-GR"/>
        </w:rPr>
        <w:t>του (23,6%)</w:t>
      </w:r>
      <w:r w:rsidRPr="003F27C8">
        <w:rPr>
          <w:rFonts w:ascii="Times New Roman" w:eastAsia="Times New Roman" w:hAnsi="Times New Roman" w:cs="Times New Roman"/>
          <w:bCs/>
          <w:sz w:val="24"/>
          <w:szCs w:val="24"/>
          <w:lang w:eastAsia="el-GR"/>
        </w:rPr>
        <w:t xml:space="preserve">. </w:t>
      </w:r>
      <w:r w:rsidR="001C669A">
        <w:rPr>
          <w:rFonts w:ascii="Times New Roman" w:eastAsia="Times New Roman" w:hAnsi="Times New Roman" w:cs="Times New Roman"/>
          <w:bCs/>
          <w:sz w:val="24"/>
          <w:szCs w:val="24"/>
          <w:lang w:eastAsia="el-GR"/>
        </w:rPr>
        <w:t xml:space="preserve"> Επιπλέον, το ποσοστό των επιχειρήσεων που δηλώνει πως θα αυξήσει τις τιμές του το επόμενο διάστημα είναι</w:t>
      </w:r>
      <w:r w:rsidR="005D43AB">
        <w:rPr>
          <w:rFonts w:ascii="Times New Roman" w:eastAsia="Times New Roman" w:hAnsi="Times New Roman" w:cs="Times New Roman"/>
          <w:bCs/>
          <w:sz w:val="24"/>
          <w:szCs w:val="24"/>
          <w:lang w:eastAsia="el-GR"/>
        </w:rPr>
        <w:t xml:space="preserve"> επίσης</w:t>
      </w:r>
      <w:r w:rsidR="001C669A">
        <w:rPr>
          <w:rFonts w:ascii="Times New Roman" w:eastAsia="Times New Roman" w:hAnsi="Times New Roman" w:cs="Times New Roman"/>
          <w:bCs/>
          <w:sz w:val="24"/>
          <w:szCs w:val="24"/>
          <w:lang w:eastAsia="el-GR"/>
        </w:rPr>
        <w:t xml:space="preserve"> το υψηλότερο που έχει καταγράφει σε εξαμηνιαία έρευνα οικονομικού κλίματος του ΙΜΕ ΓΣΕΒΕΕ (22,2%). </w:t>
      </w:r>
    </w:p>
    <w:p w14:paraId="6CD3968C" w14:textId="6DCF4EA4" w:rsidR="001C669A" w:rsidRDefault="001C669A" w:rsidP="001C669A">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Περάν αυτών</w:t>
      </w:r>
      <w:r w:rsidR="005D43AB">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οι μικρές και πολύ μικρές επιχειρήσεις μεσοπρόθεσμα θα έρθουν αντιμέτωπες με προκλήσεις για τις οποίες δεν είναι προετοιμασμένες. </w:t>
      </w:r>
      <w:r w:rsidR="007F41AD">
        <w:rPr>
          <w:rFonts w:ascii="Times New Roman" w:eastAsia="Times New Roman" w:hAnsi="Times New Roman" w:cs="Times New Roman"/>
          <w:bCs/>
          <w:sz w:val="24"/>
          <w:szCs w:val="24"/>
          <w:lang w:eastAsia="el-GR"/>
        </w:rPr>
        <w:t>Ε</w:t>
      </w:r>
      <w:r>
        <w:rPr>
          <w:rFonts w:ascii="Times New Roman" w:eastAsia="Times New Roman" w:hAnsi="Times New Roman" w:cs="Times New Roman"/>
          <w:bCs/>
          <w:sz w:val="24"/>
          <w:szCs w:val="24"/>
          <w:lang w:eastAsia="el-GR"/>
        </w:rPr>
        <w:t>ίναι κοινή παραδοχή ότι</w:t>
      </w:r>
      <w:r w:rsidR="007F41AD">
        <w:rPr>
          <w:rFonts w:ascii="Times New Roman" w:eastAsia="Times New Roman" w:hAnsi="Times New Roman" w:cs="Times New Roman"/>
          <w:bCs/>
          <w:sz w:val="24"/>
          <w:szCs w:val="24"/>
          <w:lang w:eastAsia="el-GR"/>
        </w:rPr>
        <w:t xml:space="preserve"> η πανδημική κρίση</w:t>
      </w:r>
      <w:r>
        <w:rPr>
          <w:rFonts w:ascii="Times New Roman" w:eastAsia="Times New Roman" w:hAnsi="Times New Roman" w:cs="Times New Roman"/>
          <w:bCs/>
          <w:sz w:val="24"/>
          <w:szCs w:val="24"/>
          <w:lang w:eastAsia="el-GR"/>
        </w:rPr>
        <w:t xml:space="preserve"> λειτουργεί ως «ψηφιακός επιταχυντής», ενώ η λεγόμενη πράσινη μετάβαση των επιχειρήσεων φαίνεται ότι </w:t>
      </w:r>
      <w:r w:rsidR="007F41AD">
        <w:rPr>
          <w:rFonts w:ascii="Times New Roman" w:eastAsia="Times New Roman" w:hAnsi="Times New Roman" w:cs="Times New Roman"/>
          <w:bCs/>
          <w:sz w:val="24"/>
          <w:szCs w:val="24"/>
          <w:lang w:eastAsia="el-GR"/>
        </w:rPr>
        <w:t>θα επιταχυνθεί</w:t>
      </w:r>
      <w:r>
        <w:rPr>
          <w:rFonts w:ascii="Times New Roman" w:eastAsia="Times New Roman" w:hAnsi="Times New Roman" w:cs="Times New Roman"/>
          <w:bCs/>
          <w:sz w:val="24"/>
          <w:szCs w:val="24"/>
          <w:lang w:eastAsia="el-GR"/>
        </w:rPr>
        <w:t>.</w:t>
      </w:r>
    </w:p>
    <w:p w14:paraId="6BCAC773" w14:textId="4A8CC5A5" w:rsidR="001C669A" w:rsidRPr="006868E2" w:rsidRDefault="001C669A" w:rsidP="006868E2">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Εάν προσθέσουμε και την αβεβαιότητα που υπάρχει </w:t>
      </w:r>
      <w:r w:rsidR="00EC5A22">
        <w:rPr>
          <w:rFonts w:ascii="Times New Roman" w:eastAsia="Times New Roman" w:hAnsi="Times New Roman" w:cs="Times New Roman"/>
          <w:bCs/>
          <w:sz w:val="24"/>
          <w:szCs w:val="24"/>
          <w:lang w:eastAsia="el-GR"/>
        </w:rPr>
        <w:t>λόγω της</w:t>
      </w:r>
      <w:r w:rsidR="004B70B9">
        <w:rPr>
          <w:rFonts w:ascii="Times New Roman" w:eastAsia="Times New Roman" w:hAnsi="Times New Roman" w:cs="Times New Roman"/>
          <w:bCs/>
          <w:sz w:val="24"/>
          <w:szCs w:val="24"/>
          <w:lang w:eastAsia="el-GR"/>
        </w:rPr>
        <w:t xml:space="preserve"> στασιμότητα</w:t>
      </w:r>
      <w:r w:rsidR="00EC5A22">
        <w:rPr>
          <w:rFonts w:ascii="Times New Roman" w:eastAsia="Times New Roman" w:hAnsi="Times New Roman" w:cs="Times New Roman"/>
          <w:bCs/>
          <w:sz w:val="24"/>
          <w:szCs w:val="24"/>
          <w:lang w:eastAsia="el-GR"/>
        </w:rPr>
        <w:t>ς</w:t>
      </w:r>
      <w:r w:rsidR="004B70B9">
        <w:rPr>
          <w:rFonts w:ascii="Times New Roman" w:eastAsia="Times New Roman" w:hAnsi="Times New Roman" w:cs="Times New Roman"/>
          <w:bCs/>
          <w:sz w:val="24"/>
          <w:szCs w:val="24"/>
          <w:lang w:eastAsia="el-GR"/>
        </w:rPr>
        <w:t xml:space="preserve"> που παρατηρείται στο εμβολιαστικό πρόγραμμα σε συνάρτηση με τις νέες μεταλλάξεις του </w:t>
      </w:r>
      <w:proofErr w:type="spellStart"/>
      <w:r w:rsidR="006868E2" w:rsidRPr="000815D3">
        <w:rPr>
          <w:rFonts w:ascii="Times New Roman" w:eastAsia="Times New Roman" w:hAnsi="Times New Roman" w:cs="Times New Roman"/>
          <w:bCs/>
          <w:sz w:val="24"/>
          <w:szCs w:val="24"/>
          <w:lang w:eastAsia="el-GR"/>
        </w:rPr>
        <w:t>κορωνοϊού</w:t>
      </w:r>
      <w:proofErr w:type="spellEnd"/>
      <w:r w:rsidR="004B70B9">
        <w:rPr>
          <w:rFonts w:ascii="Times New Roman" w:eastAsia="Times New Roman" w:hAnsi="Times New Roman" w:cs="Times New Roman"/>
          <w:bCs/>
          <w:sz w:val="24"/>
          <w:szCs w:val="24"/>
          <w:lang w:eastAsia="el-GR"/>
        </w:rPr>
        <w:t xml:space="preserve">, </w:t>
      </w:r>
      <w:r w:rsidR="00EC5A22">
        <w:rPr>
          <w:rFonts w:ascii="Times New Roman" w:eastAsia="Times New Roman" w:hAnsi="Times New Roman" w:cs="Times New Roman"/>
          <w:bCs/>
          <w:sz w:val="24"/>
          <w:szCs w:val="24"/>
          <w:lang w:eastAsia="el-GR"/>
        </w:rPr>
        <w:t>δημιουργούνται πολλαπλές προκλήσεις για τη βιωσιμότητα μεγάλου μέρους των μικρών και πολύ μικρών επιχειρήσεων τόσο βραχυπρόθεσμα, όσο και μεσοπρόθεσμα.</w:t>
      </w:r>
    </w:p>
    <w:p w14:paraId="2264F2AE" w14:textId="405215CC" w:rsidR="00EC5A22" w:rsidRPr="000815D3" w:rsidRDefault="00EC5A22" w:rsidP="004B70B9">
      <w:pPr>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Cs/>
          <w:sz w:val="24"/>
          <w:szCs w:val="24"/>
          <w:lang w:eastAsia="el-GR"/>
        </w:rPr>
        <w:t>Βραχυπρόθεσμα</w:t>
      </w:r>
      <w:r w:rsidR="007F41AD">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οι επιχειρήσεις που έχουν πληγεί δυσανάλογα από τις επιπτώσεις της υγειονομικής κρίσης (επιχειρήσεις που το προηγούμενο διάστημα είχαν αναστείλει τη λειτουργία τους με κρατική εντολή) φαίνεται ότι θα χρειαστούν επιπρόσθετη στήριξη για την ενίσχυση της ρευστότητας </w:t>
      </w:r>
      <w:r w:rsidR="00045567">
        <w:rPr>
          <w:rFonts w:ascii="Times New Roman" w:eastAsia="Times New Roman" w:hAnsi="Times New Roman" w:cs="Times New Roman"/>
          <w:bCs/>
          <w:sz w:val="24"/>
          <w:szCs w:val="24"/>
          <w:lang w:eastAsia="el-GR"/>
        </w:rPr>
        <w:t>τους,</w:t>
      </w:r>
      <w:r>
        <w:rPr>
          <w:rFonts w:ascii="Times New Roman" w:eastAsia="Times New Roman" w:hAnsi="Times New Roman" w:cs="Times New Roman"/>
          <w:bCs/>
          <w:sz w:val="24"/>
          <w:szCs w:val="24"/>
          <w:lang w:eastAsia="el-GR"/>
        </w:rPr>
        <w:t xml:space="preserve"> </w:t>
      </w:r>
      <w:r w:rsidR="007F41AD">
        <w:rPr>
          <w:rFonts w:ascii="Times New Roman" w:eastAsia="Times New Roman" w:hAnsi="Times New Roman" w:cs="Times New Roman"/>
          <w:bCs/>
          <w:sz w:val="24"/>
          <w:szCs w:val="24"/>
          <w:lang w:eastAsia="el-GR"/>
        </w:rPr>
        <w:t xml:space="preserve">αλλά </w:t>
      </w:r>
      <w:r>
        <w:rPr>
          <w:rFonts w:ascii="Times New Roman" w:eastAsia="Times New Roman" w:hAnsi="Times New Roman" w:cs="Times New Roman"/>
          <w:bCs/>
          <w:sz w:val="24"/>
          <w:szCs w:val="24"/>
          <w:lang w:eastAsia="el-GR"/>
        </w:rPr>
        <w:t xml:space="preserve">και </w:t>
      </w:r>
      <w:r w:rsidR="007F41AD">
        <w:rPr>
          <w:rFonts w:ascii="Times New Roman" w:eastAsia="Times New Roman" w:hAnsi="Times New Roman" w:cs="Times New Roman"/>
          <w:bCs/>
          <w:sz w:val="24"/>
          <w:szCs w:val="24"/>
          <w:lang w:eastAsia="el-GR"/>
        </w:rPr>
        <w:t xml:space="preserve">για </w:t>
      </w:r>
      <w:r>
        <w:rPr>
          <w:rFonts w:ascii="Times New Roman" w:eastAsia="Times New Roman" w:hAnsi="Times New Roman" w:cs="Times New Roman"/>
          <w:bCs/>
          <w:sz w:val="24"/>
          <w:szCs w:val="24"/>
          <w:lang w:eastAsia="el-GR"/>
        </w:rPr>
        <w:t xml:space="preserve">την εξυπηρέτηση των υποχρεώσεων τους, ιδιαίτερα εάν υπό το βάρος των επιδημιολογικών δεδομένων οδηγηθούμε σε περιορισμούς στη δραστηριότητα τους. Επιπλέον, </w:t>
      </w:r>
      <w:r w:rsidR="006E2749" w:rsidRPr="000815D3">
        <w:rPr>
          <w:rFonts w:ascii="Times New Roman" w:eastAsia="Times New Roman" w:hAnsi="Times New Roman" w:cs="Times New Roman"/>
          <w:b/>
          <w:sz w:val="24"/>
          <w:szCs w:val="24"/>
          <w:lang w:eastAsia="el-GR"/>
        </w:rPr>
        <w:t xml:space="preserve">η αύξηση των τιμών είναι μια πρόδρομη ένδειξη των πληθωριστικών πιέσεων που θα δεχθούν όλες οι οικονομίες. Αυτές οι πληθωριστικές πιέσεις σε συνδυασμό με τις </w:t>
      </w:r>
      <w:proofErr w:type="spellStart"/>
      <w:r w:rsidR="006E2749" w:rsidRPr="000815D3">
        <w:rPr>
          <w:rFonts w:ascii="Times New Roman" w:eastAsia="Times New Roman" w:hAnsi="Times New Roman" w:cs="Times New Roman"/>
          <w:b/>
          <w:sz w:val="24"/>
          <w:szCs w:val="24"/>
          <w:lang w:eastAsia="el-GR"/>
        </w:rPr>
        <w:t>υφεσιακές</w:t>
      </w:r>
      <w:proofErr w:type="spellEnd"/>
      <w:r w:rsidR="006E2749" w:rsidRPr="000815D3">
        <w:rPr>
          <w:rFonts w:ascii="Times New Roman" w:eastAsia="Times New Roman" w:hAnsi="Times New Roman" w:cs="Times New Roman"/>
          <w:b/>
          <w:sz w:val="24"/>
          <w:szCs w:val="24"/>
          <w:lang w:eastAsia="el-GR"/>
        </w:rPr>
        <w:t xml:space="preserve"> τάσεις που μπορεί να προκληθούν από τη συνέχιση της πανδημίας εγκυμον</w:t>
      </w:r>
      <w:r w:rsidR="00045567" w:rsidRPr="004A2C6A">
        <w:rPr>
          <w:rFonts w:ascii="Times New Roman" w:eastAsia="Times New Roman" w:hAnsi="Times New Roman" w:cs="Times New Roman"/>
          <w:b/>
          <w:sz w:val="24"/>
          <w:szCs w:val="24"/>
          <w:lang w:eastAsia="el-GR"/>
        </w:rPr>
        <w:t>ούν</w:t>
      </w:r>
      <w:r w:rsidR="006E2749" w:rsidRPr="000815D3">
        <w:rPr>
          <w:rFonts w:ascii="Times New Roman" w:eastAsia="Times New Roman" w:hAnsi="Times New Roman" w:cs="Times New Roman"/>
          <w:b/>
          <w:sz w:val="24"/>
          <w:szCs w:val="24"/>
          <w:lang w:eastAsia="el-GR"/>
        </w:rPr>
        <w:t xml:space="preserve"> τον κίνδυνο του στασιμοπληθωρισμού, φαινόμενο που </w:t>
      </w:r>
      <w:r w:rsidR="006E2749" w:rsidRPr="000815D3">
        <w:rPr>
          <w:rFonts w:ascii="Times New Roman" w:eastAsia="Times New Roman" w:hAnsi="Times New Roman" w:cs="Times New Roman"/>
          <w:b/>
          <w:sz w:val="24"/>
          <w:szCs w:val="24"/>
          <w:lang w:eastAsia="el-GR"/>
        </w:rPr>
        <w:lastRenderedPageBreak/>
        <w:t>εκδηλώθηκε από το 1973 και ταλάνισε όλες τις οικονομίες για μία δεκαετία</w:t>
      </w:r>
      <w:r w:rsidR="006E2749">
        <w:rPr>
          <w:rFonts w:ascii="Times New Roman" w:eastAsia="Times New Roman" w:hAnsi="Times New Roman" w:cs="Times New Roman"/>
          <w:b/>
          <w:sz w:val="24"/>
          <w:szCs w:val="24"/>
          <w:lang w:eastAsia="el-GR"/>
        </w:rPr>
        <w:t>.</w:t>
      </w:r>
      <w:r w:rsidR="001959F3">
        <w:rPr>
          <w:rFonts w:ascii="Times New Roman" w:eastAsia="Times New Roman" w:hAnsi="Times New Roman" w:cs="Times New Roman"/>
          <w:b/>
          <w:sz w:val="24"/>
          <w:szCs w:val="24"/>
          <w:lang w:eastAsia="el-GR"/>
        </w:rPr>
        <w:t xml:space="preserve"> Επομένως κρίσιμος θα είναι ο τρόπος αντιμετώπισης των ανατιμήσεων. </w:t>
      </w:r>
    </w:p>
    <w:p w14:paraId="18137E15" w14:textId="281B06BB" w:rsidR="004B70B9" w:rsidRPr="004B70B9" w:rsidRDefault="00EC5A22" w:rsidP="004B70B9">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Μεσοπρόθεσμα, </w:t>
      </w:r>
      <w:r w:rsidR="004B70B9" w:rsidRPr="004B70B9">
        <w:rPr>
          <w:rFonts w:ascii="Times New Roman" w:eastAsia="Times New Roman" w:hAnsi="Times New Roman" w:cs="Times New Roman"/>
          <w:bCs/>
          <w:sz w:val="24"/>
          <w:szCs w:val="24"/>
          <w:lang w:eastAsia="el-GR"/>
        </w:rPr>
        <w:t>μεγάλο μέρος μικρών</w:t>
      </w:r>
      <w:r>
        <w:rPr>
          <w:rFonts w:ascii="Times New Roman" w:eastAsia="Times New Roman" w:hAnsi="Times New Roman" w:cs="Times New Roman"/>
          <w:bCs/>
          <w:sz w:val="24"/>
          <w:szCs w:val="24"/>
          <w:lang w:eastAsia="el-GR"/>
        </w:rPr>
        <w:t xml:space="preserve"> και πολύ μικρών επιχειρήσεων θα κληθεί </w:t>
      </w:r>
      <w:r w:rsidR="004B70B9" w:rsidRPr="004B70B9">
        <w:rPr>
          <w:rFonts w:ascii="Times New Roman" w:eastAsia="Times New Roman" w:hAnsi="Times New Roman" w:cs="Times New Roman"/>
          <w:bCs/>
          <w:sz w:val="24"/>
          <w:szCs w:val="24"/>
          <w:lang w:eastAsia="el-GR"/>
        </w:rPr>
        <w:t xml:space="preserve"> να αντιμετωπίσει μια ισχυρή τριπλή πρόκληση</w:t>
      </w:r>
      <w:r w:rsidR="005D43AB">
        <w:rPr>
          <w:rStyle w:val="ae"/>
          <w:rFonts w:ascii="Times New Roman" w:eastAsia="Times New Roman" w:hAnsi="Times New Roman" w:cs="Times New Roman"/>
          <w:bCs/>
          <w:sz w:val="24"/>
          <w:szCs w:val="24"/>
          <w:lang w:eastAsia="el-GR"/>
        </w:rPr>
        <w:footnoteReference w:id="2"/>
      </w:r>
      <w:r w:rsidR="004B70B9" w:rsidRPr="004B70B9">
        <w:rPr>
          <w:rFonts w:ascii="Times New Roman" w:eastAsia="Times New Roman" w:hAnsi="Times New Roman" w:cs="Times New Roman"/>
          <w:bCs/>
          <w:sz w:val="24"/>
          <w:szCs w:val="24"/>
          <w:lang w:eastAsia="el-GR"/>
        </w:rPr>
        <w:t xml:space="preserve"> στη «μετά Covid-19 εποχή» που περιλαμβάνει: i) την ανάγκη προσαρμογής στις υφιστάμενες ψηφιακές προκλήσεις που προκύπτουν από την κλιμάκωση του νέου τεχνολογικού κύματος και την έλευση της λεγόμενης «4ης Βιομηχανικής Επανάστασης», ii) την αντιμετώπιση ενός διαρκώς επιταχυνόμενου ψηφιοποιούμενου οικονομικού περιβάλλοντος, ως συνέπεια και των επιπτώσεων της πανδημίας Covid-19, που θα οξύνει το ψηφιακό χάσμα μεταξύ ψηφιακά προηγμένων και λιγότερο ψηφιακά ανεπτυγμένων επιχειρήσεων και iii) την επιβίωση, λειτουργία και ανάπτυξη των πολύ </w:t>
      </w:r>
      <w:r w:rsidR="00DB3437">
        <w:rPr>
          <w:rFonts w:ascii="Times New Roman" w:eastAsia="Times New Roman" w:hAnsi="Times New Roman" w:cs="Times New Roman"/>
          <w:bCs/>
          <w:sz w:val="24"/>
          <w:szCs w:val="24"/>
          <w:lang w:eastAsia="el-GR"/>
        </w:rPr>
        <w:t xml:space="preserve">μικρών και μικρών επιχειρήσεων. </w:t>
      </w:r>
      <w:r w:rsidR="004B70B9" w:rsidRPr="004B70B9">
        <w:rPr>
          <w:rFonts w:ascii="Times New Roman" w:eastAsia="Times New Roman" w:hAnsi="Times New Roman" w:cs="Times New Roman"/>
          <w:bCs/>
          <w:sz w:val="24"/>
          <w:szCs w:val="24"/>
          <w:lang w:eastAsia="el-GR"/>
        </w:rPr>
        <w:t xml:space="preserve">Με βάση αυτά, οι σχετικές ψηφιακές πολιτικές οφείλουν να εμπεριέχουν στοιχεία άμεσης παρέμβασης αλλά και μακροπρόθεσμης προοπτικής ως προς τις αναγκαίες πολιτικές ψηφιακής ανάπτυξης, μετασχηματισμού και οικονομικής επιβίωσης των πολύ μικρών επιχειρήσεων στην μετά Covid-19 ψηφιακή εποχή. </w:t>
      </w:r>
    </w:p>
    <w:p w14:paraId="4B15F1DB" w14:textId="733D0E9A" w:rsidR="00A75172" w:rsidRDefault="004B70B9" w:rsidP="004B70B9">
      <w:pPr>
        <w:spacing w:after="0" w:line="360" w:lineRule="auto"/>
        <w:jc w:val="both"/>
        <w:rPr>
          <w:rFonts w:ascii="Times New Roman" w:eastAsia="Times New Roman" w:hAnsi="Times New Roman" w:cs="Times New Roman"/>
          <w:bCs/>
          <w:sz w:val="24"/>
          <w:szCs w:val="24"/>
          <w:highlight w:val="yellow"/>
          <w:lang w:eastAsia="el-GR"/>
        </w:rPr>
      </w:pPr>
      <w:r w:rsidRPr="004B70B9">
        <w:rPr>
          <w:rFonts w:ascii="Times New Roman" w:eastAsia="Times New Roman" w:hAnsi="Times New Roman" w:cs="Times New Roman"/>
          <w:bCs/>
          <w:sz w:val="24"/>
          <w:szCs w:val="24"/>
          <w:lang w:eastAsia="el-GR"/>
        </w:rPr>
        <w:t xml:space="preserve">Κατ’ αντιστοιχία, σημαντική πρόκληση για τις μικρές επιχειρήσεις αποτελεί και η «πράσινη μετάβαση». Η υιοθέτηση πράσινων πρακτικών, πράσινων τεχνολογιών και </w:t>
      </w:r>
      <w:proofErr w:type="spellStart"/>
      <w:r w:rsidRPr="004B70B9">
        <w:rPr>
          <w:rFonts w:ascii="Times New Roman" w:eastAsia="Times New Roman" w:hAnsi="Times New Roman" w:cs="Times New Roman"/>
          <w:bCs/>
          <w:sz w:val="24"/>
          <w:szCs w:val="24"/>
          <w:lang w:eastAsia="el-GR"/>
        </w:rPr>
        <w:t>αειφορικών</w:t>
      </w:r>
      <w:proofErr w:type="spellEnd"/>
      <w:r w:rsidRPr="004B70B9">
        <w:rPr>
          <w:rFonts w:ascii="Times New Roman" w:eastAsia="Times New Roman" w:hAnsi="Times New Roman" w:cs="Times New Roman"/>
          <w:bCs/>
          <w:sz w:val="24"/>
          <w:szCs w:val="24"/>
          <w:lang w:eastAsia="el-GR"/>
        </w:rPr>
        <w:t xml:space="preserve"> επιχειρηματικών μοντέλων συνιστά σήμερα κρίσιμη προϋπόθεση για τη ανάπτυξη των επιχειρήσεων καθώς συνδέεται με την ποιότητα τ</w:t>
      </w:r>
      <w:r w:rsidR="00EC5A22">
        <w:rPr>
          <w:rFonts w:ascii="Times New Roman" w:eastAsia="Times New Roman" w:hAnsi="Times New Roman" w:cs="Times New Roman"/>
          <w:bCs/>
          <w:sz w:val="24"/>
          <w:szCs w:val="24"/>
          <w:lang w:eastAsia="el-GR"/>
        </w:rPr>
        <w:t>ων προϊόντων και το</w:t>
      </w:r>
      <w:r w:rsidRPr="004B70B9">
        <w:rPr>
          <w:rFonts w:ascii="Times New Roman" w:eastAsia="Times New Roman" w:hAnsi="Times New Roman" w:cs="Times New Roman"/>
          <w:bCs/>
          <w:sz w:val="24"/>
          <w:szCs w:val="24"/>
          <w:lang w:eastAsia="el-GR"/>
        </w:rPr>
        <w:t xml:space="preserve">ν βιώσιμο χαρακτήρα των επιχειρησιακών διαδικασιών που ακολουθούνται. Ωστόσο, η μετάβαση σε πράσινες πρακτικές προϋποθέτει νέες επενδύσεις ως προς την υιοθέτηση νέου εξοπλισμού και συστημάτων, και συνεπώς, κατάλληλες και προσβάσιμες πηγές χρηματοδότησης. Σε αυτό το πλαίσιο, οι νέες προδιαγραφές που αναδύονται για το πέρασμα σε μια αειφόρο οικονομία προϋποθέτουν </w:t>
      </w:r>
      <w:proofErr w:type="spellStart"/>
      <w:r w:rsidRPr="004B70B9">
        <w:rPr>
          <w:rFonts w:ascii="Times New Roman" w:eastAsia="Times New Roman" w:hAnsi="Times New Roman" w:cs="Times New Roman"/>
          <w:bCs/>
          <w:sz w:val="24"/>
          <w:szCs w:val="24"/>
          <w:lang w:eastAsia="el-GR"/>
        </w:rPr>
        <w:t>στοχευμένα</w:t>
      </w:r>
      <w:proofErr w:type="spellEnd"/>
      <w:r w:rsidRPr="004B70B9">
        <w:rPr>
          <w:rFonts w:ascii="Times New Roman" w:eastAsia="Times New Roman" w:hAnsi="Times New Roman" w:cs="Times New Roman"/>
          <w:bCs/>
          <w:sz w:val="24"/>
          <w:szCs w:val="24"/>
          <w:lang w:eastAsia="el-GR"/>
        </w:rPr>
        <w:t xml:space="preserve"> και προσαρμοσμένα εργαλεία χρηματοδότησης και καθοδήγησης για την υποστήριξη των μικρών επιχειρήσεων.     </w:t>
      </w:r>
    </w:p>
    <w:p w14:paraId="3E13E624" w14:textId="77777777" w:rsidR="009A65CF" w:rsidRPr="00E36734" w:rsidRDefault="009A65CF" w:rsidP="00F113F1">
      <w:pPr>
        <w:shd w:val="clear" w:color="auto" w:fill="FFFFFF"/>
        <w:spacing w:after="0" w:line="360" w:lineRule="auto"/>
        <w:jc w:val="both"/>
        <w:rPr>
          <w:rFonts w:ascii="Times New Roman" w:eastAsia="Times New Roman" w:hAnsi="Times New Roman" w:cs="Times New Roman"/>
          <w:sz w:val="24"/>
          <w:szCs w:val="24"/>
        </w:rPr>
      </w:pPr>
    </w:p>
    <w:p w14:paraId="666A9C45"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22F9FA34"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6B006F62"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0ABE0248"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366A4B6A"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26DBF162"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5EC80834"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3AEF974C"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148C0160" w14:textId="77777777" w:rsidR="00DB3437" w:rsidRDefault="00DB3437" w:rsidP="00A9032A">
      <w:pPr>
        <w:spacing w:after="0" w:line="360" w:lineRule="auto"/>
        <w:jc w:val="both"/>
        <w:rPr>
          <w:rFonts w:ascii="Times New Roman" w:eastAsia="Times New Roman" w:hAnsi="Times New Roman" w:cs="Times New Roman"/>
          <w:b/>
          <w:bCs/>
          <w:color w:val="222222"/>
          <w:sz w:val="24"/>
          <w:szCs w:val="24"/>
          <w:lang w:eastAsia="el-GR"/>
        </w:rPr>
      </w:pPr>
    </w:p>
    <w:p w14:paraId="32B0AE74" w14:textId="77777777" w:rsidR="007F41AD" w:rsidRDefault="007F41AD" w:rsidP="00A9032A">
      <w:pPr>
        <w:spacing w:after="0" w:line="360" w:lineRule="auto"/>
        <w:jc w:val="both"/>
        <w:rPr>
          <w:rFonts w:ascii="Times New Roman" w:eastAsia="Times New Roman" w:hAnsi="Times New Roman" w:cs="Times New Roman"/>
          <w:b/>
          <w:bCs/>
          <w:color w:val="222222"/>
          <w:sz w:val="24"/>
          <w:szCs w:val="24"/>
          <w:lang w:eastAsia="el-GR"/>
        </w:rPr>
      </w:pPr>
    </w:p>
    <w:p w14:paraId="54FA9A77" w14:textId="4C2C9C07" w:rsidR="00A23BA0" w:rsidRPr="00DB3437" w:rsidRDefault="00143079" w:rsidP="00A9032A">
      <w:pPr>
        <w:spacing w:after="0" w:line="360" w:lineRule="auto"/>
        <w:jc w:val="both"/>
        <w:rPr>
          <w:rFonts w:ascii="Times New Roman" w:eastAsia="Times New Roman" w:hAnsi="Times New Roman" w:cs="Times New Roman"/>
          <w:b/>
          <w:bCs/>
          <w:color w:val="222222"/>
          <w:sz w:val="24"/>
          <w:szCs w:val="24"/>
          <w:lang w:eastAsia="el-GR"/>
        </w:rPr>
      </w:pPr>
      <w:r w:rsidRPr="00D12E24">
        <w:rPr>
          <w:rFonts w:ascii="Times New Roman" w:eastAsia="Times New Roman" w:hAnsi="Times New Roman" w:cs="Times New Roman"/>
          <w:b/>
          <w:bCs/>
          <w:color w:val="222222"/>
          <w:sz w:val="24"/>
          <w:szCs w:val="24"/>
          <w:lang w:eastAsia="el-GR"/>
        </w:rPr>
        <w:t xml:space="preserve">Τα </w:t>
      </w:r>
      <w:r w:rsidR="00F45994" w:rsidRPr="00D12E24">
        <w:rPr>
          <w:rFonts w:ascii="Times New Roman" w:eastAsia="Times New Roman" w:hAnsi="Times New Roman" w:cs="Times New Roman"/>
          <w:b/>
          <w:bCs/>
          <w:color w:val="222222"/>
          <w:sz w:val="24"/>
          <w:szCs w:val="24"/>
          <w:lang w:eastAsia="el-GR"/>
        </w:rPr>
        <w:t>σημαντικότερα</w:t>
      </w:r>
      <w:r w:rsidRPr="00D12E24">
        <w:rPr>
          <w:rFonts w:ascii="Times New Roman" w:eastAsia="Times New Roman" w:hAnsi="Times New Roman" w:cs="Times New Roman"/>
          <w:b/>
          <w:bCs/>
          <w:color w:val="222222"/>
          <w:sz w:val="24"/>
          <w:szCs w:val="24"/>
          <w:lang w:eastAsia="el-GR"/>
        </w:rPr>
        <w:t xml:space="preserve"> ευρήματα της έρευνας</w:t>
      </w:r>
      <w:r w:rsidR="007A224C" w:rsidRPr="00D12E24">
        <w:rPr>
          <w:rFonts w:ascii="Times New Roman" w:eastAsia="Times New Roman" w:hAnsi="Times New Roman" w:cs="Times New Roman"/>
          <w:b/>
          <w:bCs/>
          <w:color w:val="222222"/>
          <w:sz w:val="24"/>
          <w:szCs w:val="24"/>
          <w:lang w:eastAsia="el-GR"/>
        </w:rPr>
        <w:t xml:space="preserve"> κλίματος του ΙΜΕ ΓΣΕΒΕΕ</w:t>
      </w:r>
      <w:r w:rsidR="00F113F1" w:rsidRPr="00D12E24">
        <w:rPr>
          <w:rFonts w:ascii="Times New Roman" w:eastAsia="Times New Roman" w:hAnsi="Times New Roman" w:cs="Times New Roman"/>
          <w:b/>
          <w:bCs/>
          <w:color w:val="222222"/>
          <w:sz w:val="24"/>
          <w:szCs w:val="24"/>
          <w:lang w:eastAsia="el-GR"/>
        </w:rPr>
        <w:t xml:space="preserve"> </w:t>
      </w:r>
      <w:r w:rsidR="007A224C" w:rsidRPr="00D12E24">
        <w:rPr>
          <w:rFonts w:ascii="Times New Roman" w:eastAsia="Times New Roman" w:hAnsi="Times New Roman" w:cs="Times New Roman"/>
          <w:b/>
          <w:bCs/>
          <w:color w:val="222222"/>
          <w:sz w:val="24"/>
          <w:szCs w:val="24"/>
          <w:lang w:eastAsia="el-GR"/>
        </w:rPr>
        <w:t>είναι τα εξής:</w:t>
      </w:r>
    </w:p>
    <w:p w14:paraId="570ECEF6" w14:textId="06C9445D" w:rsidR="00A23BA0" w:rsidRPr="00910C1B" w:rsidRDefault="00460AC4" w:rsidP="00A9032A">
      <w:pPr>
        <w:spacing w:after="0" w:line="360" w:lineRule="auto"/>
        <w:jc w:val="both"/>
        <w:rPr>
          <w:rFonts w:ascii="Times New Roman" w:eastAsia="Times New Roman" w:hAnsi="Times New Roman" w:cs="Times New Roman"/>
          <w:b/>
          <w:color w:val="222222"/>
          <w:sz w:val="24"/>
          <w:szCs w:val="24"/>
          <w:u w:val="single"/>
          <w:lang w:eastAsia="el-GR"/>
        </w:rPr>
      </w:pPr>
      <w:r w:rsidRPr="00D12E24">
        <w:rPr>
          <w:rFonts w:ascii="Times New Roman" w:eastAsia="Times New Roman" w:hAnsi="Times New Roman" w:cs="Times New Roman"/>
          <w:b/>
          <w:color w:val="222222"/>
          <w:sz w:val="24"/>
          <w:szCs w:val="24"/>
          <w:u w:val="single"/>
          <w:lang w:eastAsia="el-GR"/>
        </w:rPr>
        <w:t>Αποτίμηση εξαμήνου</w:t>
      </w:r>
      <w:r w:rsidR="00A62CBE" w:rsidRPr="00D12E24">
        <w:rPr>
          <w:rFonts w:ascii="Times New Roman" w:eastAsia="Times New Roman" w:hAnsi="Times New Roman" w:cs="Times New Roman"/>
          <w:b/>
          <w:color w:val="222222"/>
          <w:sz w:val="24"/>
          <w:szCs w:val="24"/>
          <w:u w:val="single"/>
          <w:lang w:eastAsia="el-GR"/>
        </w:rPr>
        <w:t xml:space="preserve"> </w:t>
      </w:r>
    </w:p>
    <w:p w14:paraId="4C118925" w14:textId="3806DE81" w:rsidR="00460AC4" w:rsidRPr="00D12E24" w:rsidRDefault="00A62CBE" w:rsidP="00761263">
      <w:pPr>
        <w:pStyle w:val="a5"/>
        <w:numPr>
          <w:ilvl w:val="0"/>
          <w:numId w:val="6"/>
        </w:numPr>
        <w:spacing w:after="0" w:line="360" w:lineRule="auto"/>
        <w:jc w:val="both"/>
        <w:rPr>
          <w:rFonts w:ascii="Times New Roman" w:eastAsia="Times New Roman" w:hAnsi="Times New Roman" w:cs="Times New Roman"/>
          <w:b/>
          <w:color w:val="222222"/>
          <w:sz w:val="24"/>
          <w:szCs w:val="24"/>
          <w:lang w:eastAsia="el-GR"/>
        </w:rPr>
      </w:pPr>
      <w:r w:rsidRPr="00D12E24">
        <w:rPr>
          <w:rFonts w:ascii="Times New Roman" w:eastAsia="Times New Roman" w:hAnsi="Times New Roman" w:cs="Times New Roman"/>
          <w:b/>
          <w:color w:val="222222"/>
          <w:sz w:val="24"/>
          <w:szCs w:val="24"/>
          <w:lang w:eastAsia="el-GR"/>
        </w:rPr>
        <w:t xml:space="preserve">Βασικοί οικονομικοί δείκτες </w:t>
      </w:r>
    </w:p>
    <w:p w14:paraId="2B2EFE45" w14:textId="7C013D13" w:rsidR="00B775D9" w:rsidRPr="00D12E24" w:rsidRDefault="00B775D9" w:rsidP="00C80938">
      <w:pPr>
        <w:pStyle w:val="a5"/>
        <w:numPr>
          <w:ilvl w:val="0"/>
          <w:numId w:val="18"/>
        </w:numPr>
        <w:spacing w:after="0" w:line="360" w:lineRule="auto"/>
        <w:ind w:left="360"/>
        <w:jc w:val="both"/>
        <w:rPr>
          <w:rFonts w:ascii="Times New Roman" w:eastAsia="Times New Roman" w:hAnsi="Times New Roman" w:cs="Times New Roman"/>
          <w:bCs/>
          <w:color w:val="222222"/>
          <w:sz w:val="24"/>
          <w:szCs w:val="24"/>
          <w:lang w:eastAsia="el-GR"/>
        </w:rPr>
      </w:pPr>
      <w:r w:rsidRPr="00D12E24">
        <w:rPr>
          <w:rFonts w:ascii="Times New Roman" w:eastAsia="Times New Roman" w:hAnsi="Times New Roman" w:cs="Times New Roman"/>
          <w:bCs/>
          <w:color w:val="222222"/>
          <w:sz w:val="24"/>
          <w:szCs w:val="24"/>
          <w:lang w:eastAsia="el-GR"/>
        </w:rPr>
        <w:t>Ο γενικός δείκτης οικονομικού κλίματος</w:t>
      </w:r>
      <w:r w:rsidR="00D12E24" w:rsidRPr="00D12E24">
        <w:rPr>
          <w:rFonts w:ascii="Times New Roman" w:eastAsia="Times New Roman" w:hAnsi="Times New Roman" w:cs="Times New Roman"/>
          <w:bCs/>
          <w:color w:val="222222"/>
          <w:sz w:val="24"/>
          <w:szCs w:val="24"/>
          <w:lang w:eastAsia="el-GR"/>
        </w:rPr>
        <w:t xml:space="preserve"> για το Α</w:t>
      </w:r>
      <w:r w:rsidR="006868E2">
        <w:rPr>
          <w:rFonts w:ascii="Times New Roman" w:eastAsia="Times New Roman" w:hAnsi="Times New Roman" w:cs="Times New Roman"/>
          <w:bCs/>
          <w:color w:val="222222"/>
          <w:sz w:val="24"/>
          <w:szCs w:val="24"/>
          <w:lang w:eastAsia="el-GR"/>
        </w:rPr>
        <w:t>’</w:t>
      </w:r>
      <w:r w:rsidRPr="00D12E24">
        <w:rPr>
          <w:rFonts w:ascii="Times New Roman" w:eastAsia="Times New Roman" w:hAnsi="Times New Roman" w:cs="Times New Roman"/>
          <w:bCs/>
          <w:color w:val="222222"/>
          <w:sz w:val="24"/>
          <w:szCs w:val="24"/>
          <w:lang w:eastAsia="el-GR"/>
        </w:rPr>
        <w:t xml:space="preserve"> εξάμηνο του 202</w:t>
      </w:r>
      <w:r w:rsidR="00D12E24" w:rsidRPr="00D12E24">
        <w:rPr>
          <w:rFonts w:ascii="Times New Roman" w:eastAsia="Times New Roman" w:hAnsi="Times New Roman" w:cs="Times New Roman"/>
          <w:bCs/>
          <w:color w:val="222222"/>
          <w:sz w:val="24"/>
          <w:szCs w:val="24"/>
          <w:lang w:eastAsia="el-GR"/>
        </w:rPr>
        <w:t>1 σημειώνει σημαντική άνοδο καθώς διαμορφώ</w:t>
      </w:r>
      <w:r w:rsidR="007F41AD">
        <w:rPr>
          <w:rFonts w:ascii="Times New Roman" w:eastAsia="Times New Roman" w:hAnsi="Times New Roman" w:cs="Times New Roman"/>
          <w:bCs/>
          <w:color w:val="222222"/>
          <w:sz w:val="24"/>
          <w:szCs w:val="24"/>
          <w:lang w:eastAsia="el-GR"/>
        </w:rPr>
        <w:t>νεται</w:t>
      </w:r>
      <w:r w:rsidR="00D12E24" w:rsidRPr="00D12E24">
        <w:rPr>
          <w:rFonts w:ascii="Times New Roman" w:eastAsia="Times New Roman" w:hAnsi="Times New Roman" w:cs="Times New Roman"/>
          <w:bCs/>
          <w:color w:val="222222"/>
          <w:sz w:val="24"/>
          <w:szCs w:val="24"/>
          <w:lang w:eastAsia="el-GR"/>
        </w:rPr>
        <w:t xml:space="preserve"> στις 46,3 μονάδες, έναντι των 20,1 μονάδων που </w:t>
      </w:r>
      <w:r w:rsidR="00D12E24">
        <w:rPr>
          <w:rFonts w:ascii="Times New Roman" w:eastAsia="Times New Roman" w:hAnsi="Times New Roman" w:cs="Times New Roman"/>
          <w:bCs/>
          <w:color w:val="222222"/>
          <w:sz w:val="24"/>
          <w:szCs w:val="24"/>
          <w:lang w:eastAsia="el-GR"/>
        </w:rPr>
        <w:t>είχε καταγραφεί στην προηγούμενη εξαμηνιαία έρευνα (Φεβρουάριος 2021)</w:t>
      </w:r>
      <w:r w:rsidR="00C80938" w:rsidRPr="00D12E24">
        <w:rPr>
          <w:rFonts w:ascii="Times New Roman" w:eastAsia="Times New Roman" w:hAnsi="Times New Roman" w:cs="Times New Roman"/>
          <w:bCs/>
          <w:color w:val="222222"/>
          <w:sz w:val="24"/>
          <w:szCs w:val="24"/>
          <w:lang w:eastAsia="el-GR"/>
        </w:rPr>
        <w:t>.</w:t>
      </w:r>
      <w:r w:rsidR="00A62E74">
        <w:rPr>
          <w:rFonts w:ascii="Times New Roman" w:eastAsia="Times New Roman" w:hAnsi="Times New Roman" w:cs="Times New Roman"/>
          <w:bCs/>
          <w:color w:val="222222"/>
          <w:sz w:val="24"/>
          <w:szCs w:val="24"/>
          <w:lang w:eastAsia="el-GR"/>
        </w:rPr>
        <w:t xml:space="preserve"> Παραμένει ωστόσο σε χαμηλότερο επίπεδο σε σύγκριση με τα προ πανδημίας επίπεδα (66,4 μονάδες).</w:t>
      </w:r>
    </w:p>
    <w:p w14:paraId="478FAD04" w14:textId="376C73DE" w:rsidR="00460AC4" w:rsidRPr="00D12E24" w:rsidRDefault="00D12E24"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D12E24">
        <w:rPr>
          <w:rFonts w:ascii="Times New Roman" w:eastAsia="Times New Roman" w:hAnsi="Times New Roman" w:cs="Times New Roman"/>
          <w:color w:val="222222"/>
          <w:sz w:val="24"/>
          <w:szCs w:val="24"/>
          <w:lang w:eastAsia="el-GR"/>
        </w:rPr>
        <w:t>1 στις 2</w:t>
      </w:r>
      <w:r w:rsidR="00B775D9" w:rsidRPr="00D12E24">
        <w:rPr>
          <w:rFonts w:ascii="Times New Roman" w:eastAsia="Times New Roman" w:hAnsi="Times New Roman" w:cs="Times New Roman"/>
          <w:color w:val="222222"/>
          <w:sz w:val="24"/>
          <w:szCs w:val="24"/>
          <w:lang w:eastAsia="el-GR"/>
        </w:rPr>
        <w:t xml:space="preserve"> επιχειρήσεις (</w:t>
      </w:r>
      <w:r w:rsidRPr="00D12E24">
        <w:rPr>
          <w:rFonts w:ascii="Times New Roman" w:eastAsia="Times New Roman" w:hAnsi="Times New Roman" w:cs="Times New Roman"/>
          <w:color w:val="222222"/>
          <w:sz w:val="24"/>
          <w:szCs w:val="24"/>
          <w:lang w:eastAsia="el-GR"/>
        </w:rPr>
        <w:t xml:space="preserve">55%) δήλωσε πως μειώθηκε ο τζίρος της </w:t>
      </w:r>
      <w:r w:rsidR="006868E2">
        <w:rPr>
          <w:rFonts w:ascii="Times New Roman" w:eastAsia="Times New Roman" w:hAnsi="Times New Roman" w:cs="Times New Roman"/>
          <w:color w:val="222222"/>
          <w:sz w:val="24"/>
          <w:szCs w:val="24"/>
          <w:lang w:eastAsia="el-GR"/>
        </w:rPr>
        <w:t xml:space="preserve">κατά </w:t>
      </w:r>
      <w:r w:rsidRPr="00D12E24">
        <w:rPr>
          <w:rFonts w:ascii="Times New Roman" w:eastAsia="Times New Roman" w:hAnsi="Times New Roman" w:cs="Times New Roman"/>
          <w:color w:val="222222"/>
          <w:sz w:val="24"/>
          <w:szCs w:val="24"/>
          <w:lang w:eastAsia="el-GR"/>
        </w:rPr>
        <w:t>το Α</w:t>
      </w:r>
      <w:r w:rsidR="006868E2">
        <w:rPr>
          <w:rFonts w:ascii="Times New Roman" w:eastAsia="Times New Roman" w:hAnsi="Times New Roman" w:cs="Times New Roman"/>
          <w:color w:val="222222"/>
          <w:sz w:val="24"/>
          <w:szCs w:val="24"/>
          <w:lang w:eastAsia="el-GR"/>
        </w:rPr>
        <w:t>’</w:t>
      </w:r>
      <w:r w:rsidRPr="00D12E24">
        <w:rPr>
          <w:rFonts w:ascii="Times New Roman" w:eastAsia="Times New Roman" w:hAnsi="Times New Roman" w:cs="Times New Roman"/>
          <w:color w:val="222222"/>
          <w:sz w:val="24"/>
          <w:szCs w:val="24"/>
          <w:lang w:eastAsia="el-GR"/>
        </w:rPr>
        <w:t xml:space="preserve"> εξάμηνο του 2021</w:t>
      </w:r>
      <w:r w:rsidR="007F41AD">
        <w:rPr>
          <w:rFonts w:ascii="Times New Roman" w:eastAsia="Times New Roman" w:hAnsi="Times New Roman" w:cs="Times New Roman"/>
          <w:color w:val="222222"/>
          <w:sz w:val="24"/>
          <w:szCs w:val="24"/>
          <w:lang w:eastAsia="el-GR"/>
        </w:rPr>
        <w:t>,</w:t>
      </w:r>
      <w:r w:rsidR="00B775D9" w:rsidRPr="00D12E24">
        <w:rPr>
          <w:rFonts w:ascii="Times New Roman" w:eastAsia="Times New Roman" w:hAnsi="Times New Roman" w:cs="Times New Roman"/>
          <w:color w:val="222222"/>
          <w:sz w:val="24"/>
          <w:szCs w:val="24"/>
          <w:lang w:eastAsia="el-GR"/>
        </w:rPr>
        <w:t xml:space="preserve"> </w:t>
      </w:r>
      <w:r w:rsidR="00E22D6F" w:rsidRPr="00D12E24">
        <w:rPr>
          <w:rFonts w:ascii="Times New Roman" w:eastAsia="Times New Roman" w:hAnsi="Times New Roman" w:cs="Times New Roman"/>
          <w:color w:val="222222"/>
          <w:sz w:val="24"/>
          <w:szCs w:val="24"/>
          <w:lang w:eastAsia="el-GR"/>
        </w:rPr>
        <w:t xml:space="preserve"> </w:t>
      </w:r>
      <w:r w:rsidR="00B775D9" w:rsidRPr="00D12E24">
        <w:rPr>
          <w:rFonts w:ascii="Times New Roman" w:eastAsia="Times New Roman" w:hAnsi="Times New Roman" w:cs="Times New Roman"/>
          <w:color w:val="222222"/>
          <w:sz w:val="24"/>
          <w:szCs w:val="24"/>
          <w:lang w:eastAsia="el-GR"/>
        </w:rPr>
        <w:t xml:space="preserve">έναντι του </w:t>
      </w:r>
      <w:r w:rsidRPr="00D12E24">
        <w:rPr>
          <w:rFonts w:ascii="Times New Roman" w:eastAsia="Times New Roman" w:hAnsi="Times New Roman" w:cs="Times New Roman"/>
          <w:color w:val="222222"/>
          <w:sz w:val="24"/>
          <w:szCs w:val="24"/>
          <w:lang w:eastAsia="el-GR"/>
        </w:rPr>
        <w:t>20</w:t>
      </w:r>
      <w:r w:rsidR="00B775D9" w:rsidRPr="00D12E24">
        <w:rPr>
          <w:rFonts w:ascii="Times New Roman" w:eastAsia="Times New Roman" w:hAnsi="Times New Roman" w:cs="Times New Roman"/>
          <w:color w:val="222222"/>
          <w:sz w:val="24"/>
          <w:szCs w:val="24"/>
          <w:lang w:eastAsia="el-GR"/>
        </w:rPr>
        <w:t xml:space="preserve">% που δήλωσε πως αυξήθηκε και του </w:t>
      </w:r>
      <w:r w:rsidRPr="00D12E24">
        <w:rPr>
          <w:rFonts w:ascii="Times New Roman" w:eastAsia="Times New Roman" w:hAnsi="Times New Roman" w:cs="Times New Roman"/>
          <w:color w:val="222222"/>
          <w:sz w:val="24"/>
          <w:szCs w:val="24"/>
          <w:lang w:eastAsia="el-GR"/>
        </w:rPr>
        <w:t>23</w:t>
      </w:r>
      <w:r w:rsidR="00B775D9" w:rsidRPr="00D12E24">
        <w:rPr>
          <w:rFonts w:ascii="Times New Roman" w:eastAsia="Times New Roman" w:hAnsi="Times New Roman" w:cs="Times New Roman"/>
          <w:color w:val="222222"/>
          <w:sz w:val="24"/>
          <w:szCs w:val="24"/>
          <w:lang w:eastAsia="el-GR"/>
        </w:rPr>
        <w:t>% που δήλωσε πως παρέμεινε αμετάβλητος</w:t>
      </w:r>
      <w:r w:rsidR="00460AC4" w:rsidRPr="00D12E24">
        <w:rPr>
          <w:rFonts w:ascii="Times New Roman" w:eastAsia="Times New Roman" w:hAnsi="Times New Roman" w:cs="Times New Roman"/>
          <w:color w:val="222222"/>
          <w:sz w:val="24"/>
          <w:szCs w:val="24"/>
          <w:lang w:eastAsia="el-GR"/>
        </w:rPr>
        <w:t>.</w:t>
      </w:r>
    </w:p>
    <w:p w14:paraId="7DFF8F24" w14:textId="007AB27E" w:rsidR="00E22D6F" w:rsidRPr="00A62E74" w:rsidRDefault="00E22D6F"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A62E74">
        <w:rPr>
          <w:rFonts w:ascii="Times New Roman" w:eastAsia="Times New Roman" w:hAnsi="Times New Roman" w:cs="Times New Roman"/>
          <w:color w:val="222222"/>
          <w:sz w:val="24"/>
          <w:szCs w:val="24"/>
          <w:lang w:eastAsia="el-GR"/>
        </w:rPr>
        <w:t xml:space="preserve">Ο κύκλος εργασιών </w:t>
      </w:r>
      <w:r w:rsidR="00D12E24" w:rsidRPr="00A62E74">
        <w:rPr>
          <w:rFonts w:ascii="Times New Roman" w:eastAsia="Times New Roman" w:hAnsi="Times New Roman" w:cs="Times New Roman"/>
          <w:color w:val="222222"/>
          <w:sz w:val="24"/>
          <w:szCs w:val="24"/>
          <w:lang w:eastAsia="el-GR"/>
        </w:rPr>
        <w:t xml:space="preserve">των μικρών και πολύ μικρών επιχειρήσεων </w:t>
      </w:r>
      <w:r w:rsidRPr="00A62E74">
        <w:rPr>
          <w:rFonts w:ascii="Times New Roman" w:eastAsia="Times New Roman" w:hAnsi="Times New Roman" w:cs="Times New Roman"/>
          <w:color w:val="222222"/>
          <w:sz w:val="24"/>
          <w:szCs w:val="24"/>
          <w:lang w:eastAsia="el-GR"/>
        </w:rPr>
        <w:t xml:space="preserve">μειώθηκε </w:t>
      </w:r>
      <w:proofErr w:type="spellStart"/>
      <w:r w:rsidRPr="00A62E74">
        <w:rPr>
          <w:rFonts w:ascii="Times New Roman" w:eastAsia="Times New Roman" w:hAnsi="Times New Roman" w:cs="Times New Roman"/>
          <w:color w:val="222222"/>
          <w:sz w:val="24"/>
          <w:szCs w:val="24"/>
          <w:lang w:eastAsia="el-GR"/>
        </w:rPr>
        <w:t>μεσοσταθμικά</w:t>
      </w:r>
      <w:proofErr w:type="spellEnd"/>
      <w:r w:rsidRPr="00A62E74">
        <w:rPr>
          <w:rFonts w:ascii="Times New Roman" w:eastAsia="Times New Roman" w:hAnsi="Times New Roman" w:cs="Times New Roman"/>
          <w:color w:val="222222"/>
          <w:sz w:val="24"/>
          <w:szCs w:val="24"/>
          <w:lang w:eastAsia="el-GR"/>
        </w:rPr>
        <w:t xml:space="preserve"> κατά </w:t>
      </w:r>
      <w:r w:rsidR="00D12E24" w:rsidRPr="00A62E74">
        <w:rPr>
          <w:rFonts w:ascii="Times New Roman" w:eastAsia="Times New Roman" w:hAnsi="Times New Roman" w:cs="Times New Roman"/>
          <w:color w:val="222222"/>
          <w:sz w:val="24"/>
          <w:szCs w:val="24"/>
          <w:lang w:eastAsia="el-GR"/>
        </w:rPr>
        <w:t>16,7% το Α</w:t>
      </w:r>
      <w:r w:rsidR="006868E2">
        <w:rPr>
          <w:rFonts w:ascii="Times New Roman" w:eastAsia="Times New Roman" w:hAnsi="Times New Roman" w:cs="Times New Roman"/>
          <w:color w:val="222222"/>
          <w:sz w:val="24"/>
          <w:szCs w:val="24"/>
          <w:lang w:eastAsia="el-GR"/>
        </w:rPr>
        <w:t>’</w:t>
      </w:r>
      <w:r w:rsidR="00D12E24" w:rsidRPr="00A62E74">
        <w:rPr>
          <w:rFonts w:ascii="Times New Roman" w:eastAsia="Times New Roman" w:hAnsi="Times New Roman" w:cs="Times New Roman"/>
          <w:color w:val="222222"/>
          <w:sz w:val="24"/>
          <w:szCs w:val="24"/>
          <w:lang w:eastAsia="el-GR"/>
        </w:rPr>
        <w:t xml:space="preserve"> εξάμηνο του 2021</w:t>
      </w:r>
      <w:r w:rsidR="00A62E74" w:rsidRPr="00A62E74">
        <w:rPr>
          <w:rFonts w:ascii="Times New Roman" w:eastAsia="Times New Roman" w:hAnsi="Times New Roman" w:cs="Times New Roman"/>
          <w:color w:val="222222"/>
          <w:sz w:val="24"/>
          <w:szCs w:val="24"/>
          <w:lang w:eastAsia="el-GR"/>
        </w:rPr>
        <w:t xml:space="preserve">. Τα αντίστοιχο εξάμηνο του 2020 ο κύκλος εργασιών των μικρών και πολύ μικρών επιχειρήσεων είχε καταγράψει </w:t>
      </w:r>
      <w:proofErr w:type="spellStart"/>
      <w:r w:rsidR="00A62E74" w:rsidRPr="00A62E74">
        <w:rPr>
          <w:rFonts w:ascii="Times New Roman" w:eastAsia="Times New Roman" w:hAnsi="Times New Roman" w:cs="Times New Roman"/>
          <w:color w:val="222222"/>
          <w:sz w:val="24"/>
          <w:szCs w:val="24"/>
          <w:lang w:eastAsia="el-GR"/>
        </w:rPr>
        <w:t>μεσοσταθμική</w:t>
      </w:r>
      <w:proofErr w:type="spellEnd"/>
      <w:r w:rsidR="00A62E74" w:rsidRPr="00A62E74">
        <w:rPr>
          <w:rFonts w:ascii="Times New Roman" w:eastAsia="Times New Roman" w:hAnsi="Times New Roman" w:cs="Times New Roman"/>
          <w:color w:val="222222"/>
          <w:sz w:val="24"/>
          <w:szCs w:val="24"/>
          <w:lang w:eastAsia="el-GR"/>
        </w:rPr>
        <w:t xml:space="preserve"> μείωση</w:t>
      </w:r>
      <w:r w:rsidR="00D12E24" w:rsidRPr="00A62E74">
        <w:rPr>
          <w:rFonts w:ascii="Times New Roman" w:eastAsia="Times New Roman" w:hAnsi="Times New Roman" w:cs="Times New Roman"/>
          <w:color w:val="222222"/>
          <w:sz w:val="24"/>
          <w:szCs w:val="24"/>
          <w:lang w:eastAsia="el-GR"/>
        </w:rPr>
        <w:t xml:space="preserve"> </w:t>
      </w:r>
      <w:r w:rsidR="00A62E74" w:rsidRPr="00A62E74">
        <w:rPr>
          <w:rFonts w:ascii="Times New Roman" w:eastAsia="Times New Roman" w:hAnsi="Times New Roman" w:cs="Times New Roman"/>
          <w:color w:val="222222"/>
          <w:sz w:val="24"/>
          <w:szCs w:val="24"/>
          <w:lang w:eastAsia="el-GR"/>
        </w:rPr>
        <w:t xml:space="preserve">40,1%. </w:t>
      </w:r>
    </w:p>
    <w:p w14:paraId="6563F343" w14:textId="093AE80B" w:rsidR="00685193" w:rsidRPr="00A62E74" w:rsidRDefault="00685193"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A62E74">
        <w:rPr>
          <w:rFonts w:ascii="Times New Roman" w:eastAsia="Times New Roman" w:hAnsi="Times New Roman" w:cs="Times New Roman"/>
          <w:color w:val="222222"/>
          <w:sz w:val="24"/>
          <w:szCs w:val="24"/>
          <w:lang w:eastAsia="el-GR"/>
        </w:rPr>
        <w:t xml:space="preserve">Δυσμενέστερη είναι κατάσταση που καταγράφεται στις επιχειρήσεις που ανέστειλαν τη λειτουργία τους με κρατική εντολή, καθώς </w:t>
      </w:r>
      <w:r w:rsidR="00A62E74" w:rsidRPr="00A62E74">
        <w:rPr>
          <w:rFonts w:ascii="Times New Roman" w:eastAsia="Times New Roman" w:hAnsi="Times New Roman" w:cs="Times New Roman"/>
          <w:color w:val="222222"/>
          <w:sz w:val="24"/>
          <w:szCs w:val="24"/>
          <w:lang w:eastAsia="el-GR"/>
        </w:rPr>
        <w:t>7</w:t>
      </w:r>
      <w:r w:rsidRPr="00A62E74">
        <w:rPr>
          <w:rFonts w:ascii="Times New Roman" w:eastAsia="Times New Roman" w:hAnsi="Times New Roman" w:cs="Times New Roman"/>
          <w:color w:val="222222"/>
          <w:sz w:val="24"/>
          <w:szCs w:val="24"/>
          <w:lang w:eastAsia="el-GR"/>
        </w:rPr>
        <w:t xml:space="preserve"> στις 10 επιχειρήσεις</w:t>
      </w:r>
      <w:r w:rsidR="00A62E74" w:rsidRPr="00A62E74">
        <w:rPr>
          <w:rFonts w:ascii="Times New Roman" w:eastAsia="Times New Roman" w:hAnsi="Times New Roman" w:cs="Times New Roman"/>
          <w:color w:val="222222"/>
          <w:sz w:val="24"/>
          <w:szCs w:val="24"/>
          <w:lang w:eastAsia="el-GR"/>
        </w:rPr>
        <w:t xml:space="preserve"> (68,3%)</w:t>
      </w:r>
      <w:r w:rsidRPr="00A62E74">
        <w:rPr>
          <w:rFonts w:ascii="Times New Roman" w:eastAsia="Times New Roman" w:hAnsi="Times New Roman" w:cs="Times New Roman"/>
          <w:color w:val="222222"/>
          <w:sz w:val="24"/>
          <w:szCs w:val="24"/>
          <w:lang w:eastAsia="el-GR"/>
        </w:rPr>
        <w:t xml:space="preserve"> δήλωσαν πως το </w:t>
      </w:r>
      <w:r w:rsidR="00A62E74" w:rsidRPr="00A62E74">
        <w:rPr>
          <w:rFonts w:ascii="Times New Roman" w:eastAsia="Times New Roman" w:hAnsi="Times New Roman" w:cs="Times New Roman"/>
          <w:color w:val="222222"/>
          <w:sz w:val="24"/>
          <w:szCs w:val="24"/>
          <w:lang w:eastAsia="el-GR"/>
        </w:rPr>
        <w:t>Α</w:t>
      </w:r>
      <w:r w:rsidR="006868E2">
        <w:rPr>
          <w:rFonts w:ascii="Times New Roman" w:eastAsia="Times New Roman" w:hAnsi="Times New Roman" w:cs="Times New Roman"/>
          <w:color w:val="222222"/>
          <w:sz w:val="24"/>
          <w:szCs w:val="24"/>
          <w:lang w:eastAsia="el-GR"/>
        </w:rPr>
        <w:t>’</w:t>
      </w:r>
      <w:r w:rsidRPr="00A62E74">
        <w:rPr>
          <w:rFonts w:ascii="Times New Roman" w:eastAsia="Times New Roman" w:hAnsi="Times New Roman" w:cs="Times New Roman"/>
          <w:color w:val="222222"/>
          <w:sz w:val="24"/>
          <w:szCs w:val="24"/>
          <w:lang w:eastAsia="el-GR"/>
        </w:rPr>
        <w:t xml:space="preserve"> εξάμηνο του 202</w:t>
      </w:r>
      <w:r w:rsidR="00A62E74" w:rsidRPr="00A62E74">
        <w:rPr>
          <w:rFonts w:ascii="Times New Roman" w:eastAsia="Times New Roman" w:hAnsi="Times New Roman" w:cs="Times New Roman"/>
          <w:color w:val="222222"/>
          <w:sz w:val="24"/>
          <w:szCs w:val="24"/>
          <w:lang w:eastAsia="el-GR"/>
        </w:rPr>
        <w:t>1 μειώθηκε ο τζίρος τους</w:t>
      </w:r>
      <w:r w:rsidRPr="00A62E74">
        <w:rPr>
          <w:rFonts w:ascii="Times New Roman" w:eastAsia="Times New Roman" w:hAnsi="Times New Roman" w:cs="Times New Roman"/>
          <w:color w:val="222222"/>
          <w:sz w:val="24"/>
          <w:szCs w:val="24"/>
          <w:lang w:eastAsia="el-GR"/>
        </w:rPr>
        <w:t>.</w:t>
      </w:r>
    </w:p>
    <w:p w14:paraId="4CA09192" w14:textId="2A535A30" w:rsidR="00685193" w:rsidRPr="00A62E74" w:rsidRDefault="00685193"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A62E74">
        <w:rPr>
          <w:rFonts w:ascii="Times New Roman" w:eastAsia="Times New Roman" w:hAnsi="Times New Roman" w:cs="Times New Roman"/>
          <w:color w:val="222222"/>
          <w:sz w:val="24"/>
          <w:szCs w:val="24"/>
          <w:lang w:val="en-US" w:eastAsia="el-GR"/>
        </w:rPr>
        <w:t>H</w:t>
      </w:r>
      <w:r w:rsidRPr="00A62E74">
        <w:rPr>
          <w:rFonts w:ascii="Times New Roman" w:eastAsia="Times New Roman" w:hAnsi="Times New Roman" w:cs="Times New Roman"/>
          <w:color w:val="222222"/>
          <w:sz w:val="24"/>
          <w:szCs w:val="24"/>
          <w:lang w:eastAsia="el-GR"/>
        </w:rPr>
        <w:t xml:space="preserve"> </w:t>
      </w:r>
      <w:proofErr w:type="spellStart"/>
      <w:r w:rsidRPr="00A62E74">
        <w:rPr>
          <w:rFonts w:ascii="Times New Roman" w:eastAsia="Times New Roman" w:hAnsi="Times New Roman" w:cs="Times New Roman"/>
          <w:color w:val="222222"/>
          <w:sz w:val="24"/>
          <w:szCs w:val="24"/>
          <w:lang w:eastAsia="el-GR"/>
        </w:rPr>
        <w:t>μεσοσταθμική</w:t>
      </w:r>
      <w:proofErr w:type="spellEnd"/>
      <w:r w:rsidRPr="00A62E74">
        <w:rPr>
          <w:rFonts w:ascii="Times New Roman" w:eastAsia="Times New Roman" w:hAnsi="Times New Roman" w:cs="Times New Roman"/>
          <w:color w:val="222222"/>
          <w:sz w:val="24"/>
          <w:szCs w:val="24"/>
          <w:lang w:eastAsia="el-GR"/>
        </w:rPr>
        <w:t xml:space="preserve"> μείωση του τζίρου των επιχειρήσεων που ανέστειλαν τη λειτουργία με κρατική εντολή ανήλθε στο </w:t>
      </w:r>
      <w:r w:rsidR="00A62E74" w:rsidRPr="00A62E74">
        <w:rPr>
          <w:rFonts w:ascii="Times New Roman" w:eastAsia="Times New Roman" w:hAnsi="Times New Roman" w:cs="Times New Roman"/>
          <w:color w:val="222222"/>
          <w:sz w:val="24"/>
          <w:szCs w:val="24"/>
          <w:lang w:eastAsia="el-GR"/>
        </w:rPr>
        <w:t>30</w:t>
      </w:r>
      <w:r w:rsidRPr="00A62E74">
        <w:rPr>
          <w:rFonts w:ascii="Times New Roman" w:eastAsia="Times New Roman" w:hAnsi="Times New Roman" w:cs="Times New Roman"/>
          <w:color w:val="222222"/>
          <w:sz w:val="24"/>
          <w:szCs w:val="24"/>
          <w:lang w:eastAsia="el-GR"/>
        </w:rPr>
        <w:t xml:space="preserve">,3% και των επιχειρήσεις εστίασης στο </w:t>
      </w:r>
      <w:r w:rsidR="00A62E74" w:rsidRPr="00A62E74">
        <w:rPr>
          <w:rFonts w:ascii="Times New Roman" w:eastAsia="Times New Roman" w:hAnsi="Times New Roman" w:cs="Times New Roman"/>
          <w:color w:val="222222"/>
          <w:sz w:val="24"/>
          <w:szCs w:val="24"/>
          <w:lang w:eastAsia="el-GR"/>
        </w:rPr>
        <w:t>31,8</w:t>
      </w:r>
      <w:r w:rsidRPr="00A62E74">
        <w:rPr>
          <w:rFonts w:ascii="Times New Roman" w:eastAsia="Times New Roman" w:hAnsi="Times New Roman" w:cs="Times New Roman"/>
          <w:color w:val="222222"/>
          <w:sz w:val="24"/>
          <w:szCs w:val="24"/>
          <w:lang w:eastAsia="el-GR"/>
        </w:rPr>
        <w:t>%</w:t>
      </w:r>
    </w:p>
    <w:p w14:paraId="4AE89AE9" w14:textId="725EC23F" w:rsidR="00A9032A" w:rsidRPr="00BF5B83" w:rsidRDefault="00910C1B"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BF5B83">
        <w:rPr>
          <w:rFonts w:ascii="Times New Roman" w:eastAsia="Times New Roman" w:hAnsi="Times New Roman" w:cs="Times New Roman"/>
          <w:color w:val="222222"/>
          <w:sz w:val="24"/>
          <w:szCs w:val="24"/>
          <w:lang w:eastAsia="el-GR"/>
        </w:rPr>
        <w:t>Η ρευστότητα παραμένει το σημαντικότερο πρόβλημα των επιχειρήσεων καθώς το 56,1% των μικρών και πολύ μικρών επιχειρήσεων δήλωσε πως το Α</w:t>
      </w:r>
      <w:r w:rsidR="006868E2">
        <w:rPr>
          <w:rFonts w:ascii="Times New Roman" w:eastAsia="Times New Roman" w:hAnsi="Times New Roman" w:cs="Times New Roman"/>
          <w:color w:val="222222"/>
          <w:sz w:val="24"/>
          <w:szCs w:val="24"/>
          <w:lang w:eastAsia="el-GR"/>
        </w:rPr>
        <w:t>’</w:t>
      </w:r>
      <w:r w:rsidRPr="00BF5B83">
        <w:rPr>
          <w:rFonts w:ascii="Times New Roman" w:eastAsia="Times New Roman" w:hAnsi="Times New Roman" w:cs="Times New Roman"/>
          <w:color w:val="222222"/>
          <w:sz w:val="24"/>
          <w:szCs w:val="24"/>
          <w:lang w:eastAsia="el-GR"/>
        </w:rPr>
        <w:t xml:space="preserve"> εξάμηνο του 2021 μειώθηκε, έναντι του 15,3% που δήλωσε πως αυξήθηκε και του 27,2% που δήλωσε πως δεν μεταβλήθηκε.</w:t>
      </w:r>
    </w:p>
    <w:p w14:paraId="3DBF86A9" w14:textId="6BFBCA99" w:rsidR="00A9032A" w:rsidRPr="00BF5B83" w:rsidRDefault="00910C1B"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BF5B83">
        <w:rPr>
          <w:rFonts w:ascii="Times New Roman" w:eastAsia="Times New Roman" w:hAnsi="Times New Roman" w:cs="Times New Roman"/>
          <w:b/>
          <w:bCs/>
          <w:color w:val="222222"/>
          <w:sz w:val="24"/>
          <w:szCs w:val="24"/>
          <w:lang w:eastAsia="el-GR"/>
        </w:rPr>
        <w:t xml:space="preserve">Το πρόβλημα ρευστότητας των επιχειρήσεων φαίνεται και από το υψηλό ποσοστό των επιχειρήσεων που δεν έχουν καθόλου ταμειακά διαθέσιμα ή τα ταμειακά τους διαθέσιμα επαρκούν το πολύ για ένα μήνα. </w:t>
      </w:r>
    </w:p>
    <w:p w14:paraId="2E3BBBC9" w14:textId="77777777" w:rsidR="00BF5B83" w:rsidRPr="00BF5B83" w:rsidRDefault="00A9032A"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BF5B83">
        <w:rPr>
          <w:rFonts w:ascii="Times New Roman" w:eastAsia="Times New Roman" w:hAnsi="Times New Roman" w:cs="Times New Roman"/>
          <w:b/>
          <w:color w:val="222222"/>
          <w:sz w:val="24"/>
          <w:szCs w:val="24"/>
          <w:lang w:eastAsia="el-GR"/>
        </w:rPr>
        <w:t xml:space="preserve">Συγκεκριμένα 1 στις </w:t>
      </w:r>
      <w:r w:rsidR="00910C1B" w:rsidRPr="00BF5B83">
        <w:rPr>
          <w:rFonts w:ascii="Times New Roman" w:eastAsia="Times New Roman" w:hAnsi="Times New Roman" w:cs="Times New Roman"/>
          <w:b/>
          <w:color w:val="222222"/>
          <w:sz w:val="24"/>
          <w:szCs w:val="24"/>
          <w:lang w:eastAsia="el-GR"/>
        </w:rPr>
        <w:t>5</w:t>
      </w:r>
      <w:r w:rsidRPr="00BF5B83">
        <w:rPr>
          <w:rFonts w:ascii="Times New Roman" w:eastAsia="Times New Roman" w:hAnsi="Times New Roman" w:cs="Times New Roman"/>
          <w:b/>
          <w:color w:val="222222"/>
          <w:sz w:val="24"/>
          <w:szCs w:val="24"/>
          <w:lang w:eastAsia="el-GR"/>
        </w:rPr>
        <w:t xml:space="preserve"> επιχειρήσεις</w:t>
      </w:r>
      <w:r w:rsidR="00910C1B" w:rsidRPr="00BF5B83">
        <w:rPr>
          <w:rFonts w:ascii="Times New Roman" w:eastAsia="Times New Roman" w:hAnsi="Times New Roman" w:cs="Times New Roman"/>
          <w:b/>
          <w:color w:val="222222"/>
          <w:sz w:val="24"/>
          <w:szCs w:val="24"/>
          <w:lang w:eastAsia="el-GR"/>
        </w:rPr>
        <w:t xml:space="preserve"> (21,4%)</w:t>
      </w:r>
      <w:r w:rsidRPr="00BF5B83">
        <w:rPr>
          <w:rFonts w:ascii="Times New Roman" w:eastAsia="Times New Roman" w:hAnsi="Times New Roman" w:cs="Times New Roman"/>
          <w:b/>
          <w:color w:val="222222"/>
          <w:sz w:val="24"/>
          <w:szCs w:val="24"/>
          <w:lang w:eastAsia="el-GR"/>
        </w:rPr>
        <w:t xml:space="preserve"> δεν έχει καθόλου ταμειακά διαθέσιμα, ενώ για επίσης 1 στις </w:t>
      </w:r>
      <w:r w:rsidR="00910C1B" w:rsidRPr="00BF5B83">
        <w:rPr>
          <w:rFonts w:ascii="Times New Roman" w:eastAsia="Times New Roman" w:hAnsi="Times New Roman" w:cs="Times New Roman"/>
          <w:b/>
          <w:color w:val="222222"/>
          <w:sz w:val="24"/>
          <w:szCs w:val="24"/>
          <w:lang w:eastAsia="el-GR"/>
        </w:rPr>
        <w:t>5</w:t>
      </w:r>
      <w:r w:rsidRPr="00BF5B83">
        <w:rPr>
          <w:rFonts w:ascii="Times New Roman" w:eastAsia="Times New Roman" w:hAnsi="Times New Roman" w:cs="Times New Roman"/>
          <w:b/>
          <w:color w:val="222222"/>
          <w:sz w:val="24"/>
          <w:szCs w:val="24"/>
          <w:lang w:eastAsia="el-GR"/>
        </w:rPr>
        <w:t xml:space="preserve"> επιχειρήσεις</w:t>
      </w:r>
      <w:r w:rsidR="00910C1B" w:rsidRPr="00BF5B83">
        <w:rPr>
          <w:rFonts w:ascii="Times New Roman" w:eastAsia="Times New Roman" w:hAnsi="Times New Roman" w:cs="Times New Roman"/>
          <w:b/>
          <w:color w:val="222222"/>
          <w:sz w:val="24"/>
          <w:szCs w:val="24"/>
          <w:lang w:eastAsia="el-GR"/>
        </w:rPr>
        <w:t xml:space="preserve"> (21%)</w:t>
      </w:r>
      <w:r w:rsidRPr="00BF5B83">
        <w:rPr>
          <w:rFonts w:ascii="Times New Roman" w:eastAsia="Times New Roman" w:hAnsi="Times New Roman" w:cs="Times New Roman"/>
          <w:b/>
          <w:color w:val="222222"/>
          <w:sz w:val="24"/>
          <w:szCs w:val="24"/>
          <w:lang w:eastAsia="el-GR"/>
        </w:rPr>
        <w:t xml:space="preserve"> τα ταμειακά διαθέ</w:t>
      </w:r>
      <w:r w:rsidR="00BF5B83" w:rsidRPr="00BF5B83">
        <w:rPr>
          <w:rFonts w:ascii="Times New Roman" w:eastAsia="Times New Roman" w:hAnsi="Times New Roman" w:cs="Times New Roman"/>
          <w:b/>
          <w:color w:val="222222"/>
          <w:sz w:val="24"/>
          <w:szCs w:val="24"/>
          <w:lang w:eastAsia="el-GR"/>
        </w:rPr>
        <w:t xml:space="preserve">σιμα </w:t>
      </w:r>
      <w:r w:rsidRPr="00BF5B83">
        <w:rPr>
          <w:rFonts w:ascii="Times New Roman" w:eastAsia="Times New Roman" w:hAnsi="Times New Roman" w:cs="Times New Roman"/>
          <w:b/>
          <w:color w:val="222222"/>
          <w:sz w:val="24"/>
          <w:szCs w:val="24"/>
          <w:lang w:eastAsia="el-GR"/>
        </w:rPr>
        <w:t xml:space="preserve">επαρκούν </w:t>
      </w:r>
      <w:r w:rsidR="00BF5B83" w:rsidRPr="00BF5B83">
        <w:rPr>
          <w:rFonts w:ascii="Times New Roman" w:eastAsia="Times New Roman" w:hAnsi="Times New Roman" w:cs="Times New Roman"/>
          <w:b/>
          <w:color w:val="222222"/>
          <w:sz w:val="24"/>
          <w:szCs w:val="24"/>
          <w:lang w:eastAsia="el-GR"/>
        </w:rPr>
        <w:t xml:space="preserve">το πολύ για </w:t>
      </w:r>
      <w:r w:rsidRPr="00BF5B83">
        <w:rPr>
          <w:rFonts w:ascii="Times New Roman" w:eastAsia="Times New Roman" w:hAnsi="Times New Roman" w:cs="Times New Roman"/>
          <w:b/>
          <w:color w:val="222222"/>
          <w:sz w:val="24"/>
          <w:szCs w:val="24"/>
          <w:lang w:eastAsia="el-GR"/>
        </w:rPr>
        <w:t xml:space="preserve">ένα μήνα. </w:t>
      </w:r>
    </w:p>
    <w:p w14:paraId="256EC5A9" w14:textId="5C97A9D3" w:rsidR="00A9032A" w:rsidRPr="00BF5B83" w:rsidRDefault="00BF5B83" w:rsidP="00C80938">
      <w:pPr>
        <w:pStyle w:val="a5"/>
        <w:numPr>
          <w:ilvl w:val="0"/>
          <w:numId w:val="5"/>
        </w:numPr>
        <w:spacing w:after="0" w:line="360" w:lineRule="auto"/>
        <w:ind w:left="360"/>
        <w:jc w:val="both"/>
        <w:rPr>
          <w:rFonts w:ascii="Times New Roman" w:eastAsia="Times New Roman" w:hAnsi="Times New Roman" w:cs="Times New Roman"/>
          <w:bCs/>
          <w:color w:val="222222"/>
          <w:sz w:val="24"/>
          <w:szCs w:val="24"/>
          <w:lang w:eastAsia="el-GR"/>
        </w:rPr>
      </w:pPr>
      <w:r w:rsidRPr="00BF5B83">
        <w:rPr>
          <w:rFonts w:ascii="Times New Roman" w:eastAsia="Times New Roman" w:hAnsi="Times New Roman" w:cs="Times New Roman"/>
          <w:color w:val="222222"/>
          <w:sz w:val="24"/>
          <w:szCs w:val="24"/>
          <w:lang w:eastAsia="el-GR"/>
        </w:rPr>
        <w:t xml:space="preserve">Σωρευτικά για 4 στις 10 </w:t>
      </w:r>
      <w:r w:rsidR="00A9032A" w:rsidRPr="00BF5B83">
        <w:rPr>
          <w:rFonts w:ascii="Times New Roman" w:eastAsia="Times New Roman" w:hAnsi="Times New Roman" w:cs="Times New Roman"/>
          <w:bCs/>
          <w:color w:val="222222"/>
          <w:sz w:val="24"/>
          <w:szCs w:val="24"/>
          <w:lang w:eastAsia="el-GR"/>
        </w:rPr>
        <w:t xml:space="preserve">μικρές και πολύ μικρές επιχειρήσεις </w:t>
      </w:r>
      <w:r w:rsidR="007F41AD">
        <w:rPr>
          <w:rFonts w:ascii="Times New Roman" w:eastAsia="Times New Roman" w:hAnsi="Times New Roman" w:cs="Times New Roman"/>
          <w:bCs/>
          <w:color w:val="222222"/>
          <w:sz w:val="24"/>
          <w:szCs w:val="24"/>
          <w:lang w:eastAsia="el-GR"/>
        </w:rPr>
        <w:t>(</w:t>
      </w:r>
      <w:r w:rsidRPr="00BF5B83">
        <w:rPr>
          <w:rFonts w:ascii="Times New Roman" w:eastAsia="Times New Roman" w:hAnsi="Times New Roman" w:cs="Times New Roman"/>
          <w:bCs/>
          <w:color w:val="222222"/>
          <w:sz w:val="24"/>
          <w:szCs w:val="24"/>
          <w:lang w:eastAsia="el-GR"/>
        </w:rPr>
        <w:t>42,4%) τα</w:t>
      </w:r>
      <w:r w:rsidR="00A9032A" w:rsidRPr="00BF5B83">
        <w:rPr>
          <w:rFonts w:ascii="Times New Roman" w:eastAsia="Times New Roman" w:hAnsi="Times New Roman" w:cs="Times New Roman"/>
          <w:bCs/>
          <w:color w:val="222222"/>
          <w:sz w:val="24"/>
          <w:szCs w:val="24"/>
          <w:lang w:eastAsia="el-GR"/>
        </w:rPr>
        <w:t xml:space="preserve"> ταμειακά διαθέσιμα </w:t>
      </w:r>
      <w:r w:rsidRPr="00BF5B83">
        <w:rPr>
          <w:rFonts w:ascii="Times New Roman" w:eastAsia="Times New Roman" w:hAnsi="Times New Roman" w:cs="Times New Roman"/>
          <w:bCs/>
          <w:color w:val="222222"/>
          <w:sz w:val="24"/>
          <w:szCs w:val="24"/>
          <w:lang w:eastAsia="el-GR"/>
        </w:rPr>
        <w:t>επαρκούν μόλις για ένα μήνα</w:t>
      </w:r>
      <w:r w:rsidR="00A9032A" w:rsidRPr="00BF5B83">
        <w:rPr>
          <w:rFonts w:ascii="Times New Roman" w:eastAsia="Times New Roman" w:hAnsi="Times New Roman" w:cs="Times New Roman"/>
          <w:bCs/>
          <w:color w:val="222222"/>
          <w:sz w:val="24"/>
          <w:szCs w:val="24"/>
          <w:lang w:eastAsia="el-GR"/>
        </w:rPr>
        <w:t>.</w:t>
      </w:r>
    </w:p>
    <w:p w14:paraId="58E6524B" w14:textId="579BD711" w:rsidR="00685193" w:rsidRPr="00BF5B83" w:rsidRDefault="00685193"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BF5B83">
        <w:rPr>
          <w:rFonts w:ascii="Times New Roman" w:eastAsia="Times New Roman" w:hAnsi="Times New Roman" w:cs="Times New Roman"/>
          <w:b/>
          <w:bCs/>
          <w:color w:val="222222"/>
          <w:sz w:val="24"/>
          <w:szCs w:val="24"/>
          <w:lang w:eastAsia="el-GR"/>
        </w:rPr>
        <w:t>Δυσμενέστερη είναι η εικόνα όσο</w:t>
      </w:r>
      <w:r w:rsidR="00CC052A">
        <w:rPr>
          <w:rFonts w:ascii="Times New Roman" w:eastAsia="Times New Roman" w:hAnsi="Times New Roman" w:cs="Times New Roman"/>
          <w:b/>
          <w:bCs/>
          <w:color w:val="222222"/>
          <w:sz w:val="24"/>
          <w:szCs w:val="24"/>
          <w:lang w:eastAsia="el-GR"/>
        </w:rPr>
        <w:t>ν αφορά τα ταμειακά διαθέσιμα των</w:t>
      </w:r>
      <w:r w:rsidRPr="00BF5B83">
        <w:rPr>
          <w:rFonts w:ascii="Times New Roman" w:eastAsia="Times New Roman" w:hAnsi="Times New Roman" w:cs="Times New Roman"/>
          <w:b/>
          <w:bCs/>
          <w:color w:val="222222"/>
          <w:sz w:val="24"/>
          <w:szCs w:val="24"/>
          <w:lang w:eastAsia="el-GR"/>
        </w:rPr>
        <w:t xml:space="preserve"> επιχειρήσεων που ανέστειλαν την λειτουργία τους με κρατική εντολή και των επιχειρήσεων εστίασης. </w:t>
      </w:r>
    </w:p>
    <w:p w14:paraId="0ADD2334" w14:textId="3B5BFF6C" w:rsidR="00685193" w:rsidRPr="00BF5B83" w:rsidRDefault="00685193"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BF5B83">
        <w:rPr>
          <w:rFonts w:ascii="Times New Roman" w:eastAsia="Times New Roman" w:hAnsi="Times New Roman" w:cs="Times New Roman"/>
          <w:b/>
          <w:bCs/>
          <w:color w:val="222222"/>
          <w:sz w:val="24"/>
          <w:szCs w:val="24"/>
          <w:lang w:eastAsia="el-GR"/>
        </w:rPr>
        <w:t xml:space="preserve">Το </w:t>
      </w:r>
      <w:r w:rsidR="00BF5B83" w:rsidRPr="00BF5B83">
        <w:rPr>
          <w:rFonts w:ascii="Times New Roman" w:eastAsia="Times New Roman" w:hAnsi="Times New Roman" w:cs="Times New Roman"/>
          <w:b/>
          <w:bCs/>
          <w:color w:val="222222"/>
          <w:sz w:val="24"/>
          <w:szCs w:val="24"/>
          <w:lang w:eastAsia="el-GR"/>
        </w:rPr>
        <w:t>31,7</w:t>
      </w:r>
      <w:r w:rsidRPr="00BF5B83">
        <w:rPr>
          <w:rFonts w:ascii="Times New Roman" w:eastAsia="Times New Roman" w:hAnsi="Times New Roman" w:cs="Times New Roman"/>
          <w:b/>
          <w:bCs/>
          <w:color w:val="222222"/>
          <w:sz w:val="24"/>
          <w:szCs w:val="24"/>
          <w:lang w:eastAsia="el-GR"/>
        </w:rPr>
        <w:t xml:space="preserve">% των επιχειρήσεων που ανέστειλαν την λειτουργία </w:t>
      </w:r>
      <w:r w:rsidR="007F41AD">
        <w:rPr>
          <w:rFonts w:ascii="Times New Roman" w:eastAsia="Times New Roman" w:hAnsi="Times New Roman" w:cs="Times New Roman"/>
          <w:b/>
          <w:bCs/>
          <w:color w:val="222222"/>
          <w:sz w:val="24"/>
          <w:szCs w:val="24"/>
          <w:lang w:eastAsia="el-GR"/>
        </w:rPr>
        <w:t>τους με κρατική εντολή δεν έχει</w:t>
      </w:r>
      <w:r w:rsidRPr="00BF5B83">
        <w:rPr>
          <w:rFonts w:ascii="Times New Roman" w:eastAsia="Times New Roman" w:hAnsi="Times New Roman" w:cs="Times New Roman"/>
          <w:b/>
          <w:bCs/>
          <w:color w:val="222222"/>
          <w:sz w:val="24"/>
          <w:szCs w:val="24"/>
          <w:lang w:eastAsia="el-GR"/>
        </w:rPr>
        <w:t xml:space="preserve"> καθόλου ρευστότητα, ενώ για το </w:t>
      </w:r>
      <w:r w:rsidR="00BF5B83" w:rsidRPr="00BF5B83">
        <w:rPr>
          <w:rFonts w:ascii="Times New Roman" w:eastAsia="Times New Roman" w:hAnsi="Times New Roman" w:cs="Times New Roman"/>
          <w:b/>
          <w:bCs/>
          <w:color w:val="222222"/>
          <w:sz w:val="24"/>
          <w:szCs w:val="24"/>
          <w:lang w:eastAsia="el-GR"/>
        </w:rPr>
        <w:t>19,2</w:t>
      </w:r>
      <w:r w:rsidRPr="00BF5B83">
        <w:rPr>
          <w:rFonts w:ascii="Times New Roman" w:eastAsia="Times New Roman" w:hAnsi="Times New Roman" w:cs="Times New Roman"/>
          <w:b/>
          <w:bCs/>
          <w:color w:val="222222"/>
          <w:sz w:val="24"/>
          <w:szCs w:val="24"/>
          <w:lang w:eastAsia="el-GR"/>
        </w:rPr>
        <w:t xml:space="preserve">% τα ταμειακά διαθέσιμα επαρκούν το πολύ για ένα μήνα. </w:t>
      </w:r>
      <w:r w:rsidR="00BF5B83" w:rsidRPr="00BF5B83">
        <w:rPr>
          <w:rFonts w:ascii="Times New Roman" w:eastAsia="Times New Roman" w:hAnsi="Times New Roman" w:cs="Times New Roman"/>
          <w:b/>
          <w:bCs/>
          <w:color w:val="222222"/>
          <w:sz w:val="24"/>
          <w:szCs w:val="24"/>
          <w:lang w:eastAsia="el-GR"/>
        </w:rPr>
        <w:lastRenderedPageBreak/>
        <w:t xml:space="preserve">Ανάλογα είναι και τα </w:t>
      </w:r>
      <w:r w:rsidR="007F41AD">
        <w:rPr>
          <w:rFonts w:ascii="Times New Roman" w:eastAsia="Times New Roman" w:hAnsi="Times New Roman" w:cs="Times New Roman"/>
          <w:b/>
          <w:bCs/>
          <w:color w:val="222222"/>
          <w:sz w:val="24"/>
          <w:szCs w:val="24"/>
          <w:lang w:eastAsia="el-GR"/>
        </w:rPr>
        <w:t>ευρήματα</w:t>
      </w:r>
      <w:r w:rsidR="00BF5B83" w:rsidRPr="00BF5B83">
        <w:rPr>
          <w:rFonts w:ascii="Times New Roman" w:eastAsia="Times New Roman" w:hAnsi="Times New Roman" w:cs="Times New Roman"/>
          <w:b/>
          <w:bCs/>
          <w:color w:val="222222"/>
          <w:sz w:val="24"/>
          <w:szCs w:val="24"/>
          <w:lang w:eastAsia="el-GR"/>
        </w:rPr>
        <w:t xml:space="preserve"> για τις επιχειρήσεις εστίασης. Το 28,9% δεν έχει καθόλου ταμειακά διαθέσιμα, ενώ το 21,6% έχει ταμειακά διαθέσιμα το πολύ για ένα μήνα.</w:t>
      </w:r>
    </w:p>
    <w:p w14:paraId="38F81A55" w14:textId="47678706" w:rsidR="00A9032A" w:rsidRPr="00BF5B83" w:rsidRDefault="00A9032A"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BF5B83">
        <w:rPr>
          <w:rFonts w:ascii="Times New Roman" w:eastAsia="Times New Roman" w:hAnsi="Times New Roman" w:cs="Times New Roman"/>
          <w:color w:val="222222"/>
          <w:sz w:val="24"/>
          <w:szCs w:val="24"/>
          <w:lang w:eastAsia="el-GR"/>
        </w:rPr>
        <w:t xml:space="preserve">Το </w:t>
      </w:r>
      <w:r w:rsidR="00BF5B83" w:rsidRPr="00BF5B83">
        <w:rPr>
          <w:rFonts w:ascii="Times New Roman" w:eastAsia="Times New Roman" w:hAnsi="Times New Roman" w:cs="Times New Roman"/>
          <w:color w:val="222222"/>
          <w:sz w:val="24"/>
          <w:szCs w:val="24"/>
          <w:lang w:eastAsia="el-GR"/>
        </w:rPr>
        <w:t>11,3</w:t>
      </w:r>
      <w:r w:rsidRPr="00BF5B83">
        <w:rPr>
          <w:rFonts w:ascii="Times New Roman" w:eastAsia="Times New Roman" w:hAnsi="Times New Roman" w:cs="Times New Roman"/>
          <w:color w:val="222222"/>
          <w:sz w:val="24"/>
          <w:szCs w:val="24"/>
          <w:lang w:eastAsia="el-GR"/>
        </w:rPr>
        <w:t xml:space="preserve">% των επιχειρήσεων προχώρησε σε επενδύσεις το </w:t>
      </w:r>
      <w:r w:rsidR="00BF5B83" w:rsidRPr="00BF5B83">
        <w:rPr>
          <w:rFonts w:ascii="Times New Roman" w:eastAsia="Times New Roman" w:hAnsi="Times New Roman" w:cs="Times New Roman"/>
          <w:color w:val="222222"/>
          <w:sz w:val="24"/>
          <w:szCs w:val="24"/>
          <w:lang w:eastAsia="el-GR"/>
        </w:rPr>
        <w:t>Α</w:t>
      </w:r>
      <w:r w:rsidR="006118B5">
        <w:rPr>
          <w:rFonts w:ascii="Times New Roman" w:eastAsia="Times New Roman" w:hAnsi="Times New Roman" w:cs="Times New Roman"/>
          <w:color w:val="222222"/>
          <w:sz w:val="24"/>
          <w:szCs w:val="24"/>
          <w:lang w:eastAsia="el-GR"/>
        </w:rPr>
        <w:t>’</w:t>
      </w:r>
      <w:r w:rsidR="00BF5B83" w:rsidRPr="00BF5B83">
        <w:rPr>
          <w:rFonts w:ascii="Times New Roman" w:eastAsia="Times New Roman" w:hAnsi="Times New Roman" w:cs="Times New Roman"/>
          <w:color w:val="222222"/>
          <w:sz w:val="24"/>
          <w:szCs w:val="24"/>
          <w:lang w:eastAsia="el-GR"/>
        </w:rPr>
        <w:t xml:space="preserve"> εξάμηνο του 2021</w:t>
      </w:r>
      <w:r w:rsidRPr="00BF5B83">
        <w:rPr>
          <w:rFonts w:ascii="Times New Roman" w:eastAsia="Times New Roman" w:hAnsi="Times New Roman" w:cs="Times New Roman"/>
          <w:color w:val="222222"/>
          <w:sz w:val="24"/>
          <w:szCs w:val="24"/>
          <w:lang w:eastAsia="el-GR"/>
        </w:rPr>
        <w:t xml:space="preserve">, έναντι του </w:t>
      </w:r>
      <w:r w:rsidR="00BF5B83" w:rsidRPr="00BF5B83">
        <w:rPr>
          <w:rFonts w:ascii="Times New Roman" w:eastAsia="Times New Roman" w:hAnsi="Times New Roman" w:cs="Times New Roman"/>
          <w:color w:val="222222"/>
          <w:sz w:val="24"/>
          <w:szCs w:val="24"/>
          <w:lang w:eastAsia="el-GR"/>
        </w:rPr>
        <w:t>8,7</w:t>
      </w:r>
      <w:r w:rsidRPr="00BF5B83">
        <w:rPr>
          <w:rFonts w:ascii="Times New Roman" w:eastAsia="Times New Roman" w:hAnsi="Times New Roman" w:cs="Times New Roman"/>
          <w:color w:val="222222"/>
          <w:sz w:val="24"/>
          <w:szCs w:val="24"/>
          <w:lang w:eastAsia="el-GR"/>
        </w:rPr>
        <w:t>% του αντίστοιχου περσινού διαστήματος.</w:t>
      </w:r>
    </w:p>
    <w:p w14:paraId="4FCEF232" w14:textId="7D9FEBD6" w:rsidR="00A9032A" w:rsidRPr="00BF5B83" w:rsidRDefault="00A9032A"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BF5B83">
        <w:rPr>
          <w:rFonts w:ascii="Times New Roman" w:eastAsia="Times New Roman" w:hAnsi="Times New Roman" w:cs="Times New Roman"/>
          <w:color w:val="222222"/>
          <w:sz w:val="24"/>
          <w:szCs w:val="24"/>
          <w:lang w:eastAsia="el-GR"/>
        </w:rPr>
        <w:t xml:space="preserve">Το </w:t>
      </w:r>
      <w:r w:rsidR="00BF5B83" w:rsidRPr="00BF5B83">
        <w:rPr>
          <w:rFonts w:ascii="Times New Roman" w:eastAsia="Times New Roman" w:hAnsi="Times New Roman" w:cs="Times New Roman"/>
          <w:color w:val="222222"/>
          <w:sz w:val="24"/>
          <w:szCs w:val="24"/>
          <w:lang w:eastAsia="el-GR"/>
        </w:rPr>
        <w:t>7,9</w:t>
      </w:r>
      <w:r w:rsidRPr="00BF5B83">
        <w:rPr>
          <w:rFonts w:ascii="Times New Roman" w:eastAsia="Times New Roman" w:hAnsi="Times New Roman" w:cs="Times New Roman"/>
          <w:color w:val="222222"/>
          <w:sz w:val="24"/>
          <w:szCs w:val="24"/>
          <w:lang w:eastAsia="el-GR"/>
        </w:rPr>
        <w:t xml:space="preserve">% των επιχειρήσεων δήλωσε πως αύξησε το προσωπικό του το </w:t>
      </w:r>
      <w:r w:rsidR="00BF5B83" w:rsidRPr="00BF5B83">
        <w:rPr>
          <w:rFonts w:ascii="Times New Roman" w:eastAsia="Times New Roman" w:hAnsi="Times New Roman" w:cs="Times New Roman"/>
          <w:color w:val="222222"/>
          <w:sz w:val="24"/>
          <w:szCs w:val="24"/>
          <w:lang w:eastAsia="el-GR"/>
        </w:rPr>
        <w:t>Α</w:t>
      </w:r>
      <w:r w:rsidR="006118B5">
        <w:rPr>
          <w:rFonts w:ascii="Times New Roman" w:eastAsia="Times New Roman" w:hAnsi="Times New Roman" w:cs="Times New Roman"/>
          <w:color w:val="222222"/>
          <w:sz w:val="24"/>
          <w:szCs w:val="24"/>
          <w:lang w:eastAsia="el-GR"/>
        </w:rPr>
        <w:t>’</w:t>
      </w:r>
      <w:r w:rsidR="00BF5B83" w:rsidRPr="00BF5B83">
        <w:rPr>
          <w:rFonts w:ascii="Times New Roman" w:eastAsia="Times New Roman" w:hAnsi="Times New Roman" w:cs="Times New Roman"/>
          <w:color w:val="222222"/>
          <w:sz w:val="24"/>
          <w:szCs w:val="24"/>
          <w:lang w:eastAsia="el-GR"/>
        </w:rPr>
        <w:t xml:space="preserve"> εξάμηνο του 2021</w:t>
      </w:r>
      <w:r w:rsidRPr="00BF5B83">
        <w:rPr>
          <w:rFonts w:ascii="Times New Roman" w:eastAsia="Times New Roman" w:hAnsi="Times New Roman" w:cs="Times New Roman"/>
          <w:color w:val="222222"/>
          <w:sz w:val="24"/>
          <w:szCs w:val="24"/>
          <w:lang w:eastAsia="el-GR"/>
        </w:rPr>
        <w:t xml:space="preserve">, έναντι του </w:t>
      </w:r>
      <w:r w:rsidR="00BF5B83" w:rsidRPr="00BF5B83">
        <w:rPr>
          <w:rFonts w:ascii="Times New Roman" w:eastAsia="Times New Roman" w:hAnsi="Times New Roman" w:cs="Times New Roman"/>
          <w:color w:val="222222"/>
          <w:sz w:val="24"/>
          <w:szCs w:val="24"/>
          <w:lang w:eastAsia="el-GR"/>
        </w:rPr>
        <w:t>5,6</w:t>
      </w:r>
      <w:r w:rsidRPr="00BF5B83">
        <w:rPr>
          <w:rFonts w:ascii="Times New Roman" w:eastAsia="Times New Roman" w:hAnsi="Times New Roman" w:cs="Times New Roman"/>
          <w:color w:val="222222"/>
          <w:sz w:val="24"/>
          <w:szCs w:val="24"/>
          <w:lang w:eastAsia="el-GR"/>
        </w:rPr>
        <w:t xml:space="preserve">% που δήλωσε ότι το μείωσε και του </w:t>
      </w:r>
      <w:r w:rsidR="00BF5B83" w:rsidRPr="00BF5B83">
        <w:rPr>
          <w:rFonts w:ascii="Times New Roman" w:eastAsia="Times New Roman" w:hAnsi="Times New Roman" w:cs="Times New Roman"/>
          <w:color w:val="222222"/>
          <w:sz w:val="24"/>
          <w:szCs w:val="24"/>
          <w:lang w:eastAsia="el-GR"/>
        </w:rPr>
        <w:t>86,6</w:t>
      </w:r>
      <w:r w:rsidRPr="00BF5B83">
        <w:rPr>
          <w:rFonts w:ascii="Times New Roman" w:eastAsia="Times New Roman" w:hAnsi="Times New Roman" w:cs="Times New Roman"/>
          <w:color w:val="222222"/>
          <w:sz w:val="24"/>
          <w:szCs w:val="24"/>
          <w:lang w:eastAsia="el-GR"/>
        </w:rPr>
        <w:t>% που το διατήρησε σταθερό.</w:t>
      </w:r>
    </w:p>
    <w:p w14:paraId="310A2F6D" w14:textId="77777777" w:rsidR="006E782F" w:rsidRDefault="006E782F" w:rsidP="006E782F">
      <w:pPr>
        <w:spacing w:after="0" w:line="360" w:lineRule="auto"/>
        <w:jc w:val="both"/>
        <w:rPr>
          <w:rFonts w:ascii="Times New Roman" w:eastAsia="Times New Roman" w:hAnsi="Times New Roman" w:cs="Times New Roman"/>
          <w:color w:val="222222"/>
          <w:sz w:val="24"/>
          <w:szCs w:val="24"/>
          <w:highlight w:val="yellow"/>
          <w:lang w:eastAsia="el-GR"/>
        </w:rPr>
      </w:pPr>
    </w:p>
    <w:p w14:paraId="74C62CB3" w14:textId="658CD0A6" w:rsidR="006E782F" w:rsidRPr="006E782F" w:rsidRDefault="006E782F" w:rsidP="006E782F">
      <w:pPr>
        <w:numPr>
          <w:ilvl w:val="0"/>
          <w:numId w:val="6"/>
        </w:numPr>
        <w:spacing w:after="0" w:line="360" w:lineRule="auto"/>
        <w:contextualSpacing/>
        <w:jc w:val="both"/>
        <w:rPr>
          <w:rFonts w:ascii="Times New Roman" w:eastAsia="Times New Roman" w:hAnsi="Times New Roman" w:cs="Times New Roman"/>
          <w:b/>
          <w:bCs/>
          <w:color w:val="222222"/>
          <w:sz w:val="24"/>
          <w:szCs w:val="24"/>
          <w:lang w:eastAsia="el-GR"/>
        </w:rPr>
      </w:pPr>
      <w:r w:rsidRPr="006E782F">
        <w:rPr>
          <w:rFonts w:ascii="Times New Roman" w:eastAsia="Times New Roman" w:hAnsi="Times New Roman" w:cs="Times New Roman"/>
          <w:b/>
          <w:bCs/>
          <w:color w:val="222222"/>
          <w:sz w:val="24"/>
          <w:szCs w:val="24"/>
          <w:lang w:eastAsia="el-GR"/>
        </w:rPr>
        <w:t>Τιμές αγαθών/υπηρεσιών</w:t>
      </w:r>
    </w:p>
    <w:p w14:paraId="3259CAA2" w14:textId="7B275C43" w:rsidR="006E782F" w:rsidRDefault="006E782F" w:rsidP="006E782F">
      <w:pPr>
        <w:pStyle w:val="a5"/>
        <w:numPr>
          <w:ilvl w:val="0"/>
          <w:numId w:val="23"/>
        </w:numPr>
        <w:spacing w:after="0" w:line="360" w:lineRule="auto"/>
        <w:jc w:val="both"/>
        <w:rPr>
          <w:rFonts w:ascii="Times New Roman" w:eastAsia="Times New Roman" w:hAnsi="Times New Roman" w:cs="Times New Roman"/>
          <w:color w:val="222222"/>
          <w:sz w:val="24"/>
          <w:szCs w:val="24"/>
          <w:lang w:eastAsia="el-GR"/>
        </w:rPr>
      </w:pPr>
      <w:r w:rsidRPr="006E782F">
        <w:rPr>
          <w:rFonts w:ascii="Times New Roman" w:eastAsia="Times New Roman" w:hAnsi="Times New Roman" w:cs="Times New Roman"/>
          <w:color w:val="222222"/>
          <w:sz w:val="24"/>
          <w:szCs w:val="24"/>
          <w:lang w:eastAsia="el-GR"/>
        </w:rPr>
        <w:t xml:space="preserve">Για τις τιμές αγαθών/υπηρεσιών είναι η πρώτη φορά σε έρευνα κλίματος του ΙΜΕ ΓΣΕΒΕΕ που καταγράφεται </w:t>
      </w:r>
      <w:r w:rsidR="007F41AD">
        <w:rPr>
          <w:rFonts w:ascii="Times New Roman" w:eastAsia="Times New Roman" w:hAnsi="Times New Roman" w:cs="Times New Roman"/>
          <w:color w:val="222222"/>
          <w:sz w:val="24"/>
          <w:szCs w:val="24"/>
          <w:lang w:eastAsia="el-GR"/>
        </w:rPr>
        <w:t>τόσο μεγάλο</w:t>
      </w:r>
      <w:r w:rsidRPr="006E782F">
        <w:rPr>
          <w:rFonts w:ascii="Times New Roman" w:eastAsia="Times New Roman" w:hAnsi="Times New Roman" w:cs="Times New Roman"/>
          <w:color w:val="222222"/>
          <w:sz w:val="24"/>
          <w:szCs w:val="24"/>
          <w:lang w:eastAsia="el-GR"/>
        </w:rPr>
        <w:t xml:space="preserve"> ποσοστό επιχειρήσεων που δήλωσαν πως αύξησαν τις τιμές</w:t>
      </w:r>
      <w:r w:rsidR="006118B5">
        <w:rPr>
          <w:rFonts w:ascii="Times New Roman" w:eastAsia="Times New Roman" w:hAnsi="Times New Roman" w:cs="Times New Roman"/>
          <w:color w:val="222222"/>
          <w:sz w:val="24"/>
          <w:szCs w:val="24"/>
          <w:lang w:eastAsia="el-GR"/>
        </w:rPr>
        <w:t>.</w:t>
      </w:r>
      <w:r w:rsidRPr="006E782F">
        <w:rPr>
          <w:rFonts w:ascii="Times New Roman" w:eastAsia="Times New Roman" w:hAnsi="Times New Roman" w:cs="Times New Roman"/>
          <w:color w:val="222222"/>
          <w:sz w:val="24"/>
          <w:szCs w:val="24"/>
          <w:lang w:eastAsia="el-GR"/>
        </w:rPr>
        <w:t xml:space="preserve"> </w:t>
      </w:r>
    </w:p>
    <w:p w14:paraId="15A62CDB" w14:textId="5DA8521F" w:rsidR="006E782F" w:rsidRDefault="006E782F" w:rsidP="006E782F">
      <w:pPr>
        <w:pStyle w:val="a5"/>
        <w:numPr>
          <w:ilvl w:val="0"/>
          <w:numId w:val="23"/>
        </w:numPr>
        <w:spacing w:after="0" w:line="360" w:lineRule="auto"/>
        <w:jc w:val="both"/>
        <w:rPr>
          <w:rFonts w:ascii="Times New Roman" w:eastAsia="Times New Roman" w:hAnsi="Times New Roman" w:cs="Times New Roman"/>
          <w:color w:val="222222"/>
          <w:sz w:val="24"/>
          <w:szCs w:val="24"/>
          <w:lang w:eastAsia="el-GR"/>
        </w:rPr>
      </w:pPr>
      <w:r w:rsidRPr="006E782F">
        <w:rPr>
          <w:rFonts w:ascii="Times New Roman" w:eastAsia="Times New Roman" w:hAnsi="Times New Roman" w:cs="Times New Roman"/>
          <w:color w:val="222222"/>
          <w:sz w:val="24"/>
          <w:szCs w:val="24"/>
          <w:lang w:eastAsia="el-GR"/>
        </w:rPr>
        <w:t>Συγκεκριμένα το 23,6% των επιχειρήσεων δήλωσ</w:t>
      </w:r>
      <w:r>
        <w:rPr>
          <w:rFonts w:ascii="Times New Roman" w:eastAsia="Times New Roman" w:hAnsi="Times New Roman" w:cs="Times New Roman"/>
          <w:color w:val="222222"/>
          <w:sz w:val="24"/>
          <w:szCs w:val="24"/>
          <w:lang w:eastAsia="el-GR"/>
        </w:rPr>
        <w:t>ε πως κατά το Α</w:t>
      </w:r>
      <w:r w:rsidR="006118B5">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eastAsia="el-GR"/>
        </w:rPr>
        <w:t xml:space="preserve"> εξάμηνο του 2021</w:t>
      </w:r>
      <w:r w:rsidRPr="006E782F">
        <w:rPr>
          <w:rFonts w:ascii="Times New Roman" w:eastAsia="Times New Roman" w:hAnsi="Times New Roman" w:cs="Times New Roman"/>
          <w:color w:val="222222"/>
          <w:sz w:val="24"/>
          <w:szCs w:val="24"/>
          <w:lang w:eastAsia="el-GR"/>
        </w:rPr>
        <w:t xml:space="preserve"> αύξησε τις τιμές των αγαθών/υπηρεσιών έναντι του</w:t>
      </w:r>
      <w:r w:rsidR="007F41AD">
        <w:rPr>
          <w:rFonts w:ascii="Times New Roman" w:eastAsia="Times New Roman" w:hAnsi="Times New Roman" w:cs="Times New Roman"/>
          <w:color w:val="222222"/>
          <w:sz w:val="24"/>
          <w:szCs w:val="24"/>
          <w:lang w:eastAsia="el-GR"/>
        </w:rPr>
        <w:t xml:space="preserve"> 16,7% που δήλωσε ότι τις μείωσε</w:t>
      </w:r>
      <w:r w:rsidRPr="006E782F">
        <w:rPr>
          <w:rFonts w:ascii="Times New Roman" w:eastAsia="Times New Roman" w:hAnsi="Times New Roman" w:cs="Times New Roman"/>
          <w:color w:val="222222"/>
          <w:sz w:val="24"/>
          <w:szCs w:val="24"/>
          <w:lang w:eastAsia="el-GR"/>
        </w:rPr>
        <w:t xml:space="preserve"> και του 58,3% που τις διατήρησε σταθερές</w:t>
      </w:r>
      <w:r w:rsidR="007F41AD">
        <w:rPr>
          <w:rFonts w:ascii="Times New Roman" w:eastAsia="Times New Roman" w:hAnsi="Times New Roman" w:cs="Times New Roman"/>
          <w:color w:val="222222"/>
          <w:sz w:val="24"/>
          <w:szCs w:val="24"/>
          <w:lang w:eastAsia="el-GR"/>
        </w:rPr>
        <w:t>.</w:t>
      </w:r>
    </w:p>
    <w:p w14:paraId="123AE4CD" w14:textId="77777777" w:rsidR="00D83183" w:rsidRDefault="00D83183" w:rsidP="00D83183">
      <w:pPr>
        <w:pStyle w:val="a5"/>
        <w:numPr>
          <w:ilvl w:val="0"/>
          <w:numId w:val="23"/>
        </w:numPr>
        <w:spacing w:after="0" w:line="360" w:lineRule="auto"/>
        <w:jc w:val="both"/>
        <w:rPr>
          <w:rFonts w:ascii="Times New Roman" w:eastAsia="Times New Roman" w:hAnsi="Times New Roman" w:cs="Times New Roman"/>
          <w:color w:val="222222"/>
          <w:sz w:val="24"/>
          <w:szCs w:val="24"/>
          <w:lang w:eastAsia="el-GR"/>
        </w:rPr>
      </w:pPr>
      <w:r w:rsidRPr="00D83183">
        <w:rPr>
          <w:rFonts w:ascii="Times New Roman" w:eastAsia="Times New Roman" w:hAnsi="Times New Roman" w:cs="Times New Roman"/>
          <w:color w:val="222222"/>
          <w:sz w:val="24"/>
          <w:szCs w:val="24"/>
          <w:lang w:eastAsia="el-GR"/>
        </w:rPr>
        <w:t xml:space="preserve">Από τα στοιχεία της έρευνας εκτιμάται πως οι ανατιμήσεις θα συνεχιστούν διαμορφώνοντας ένα υψηλότερο επίπεδο τιμών. Παρόλο που δεν είναι ακόμα εμφανές εάν η άνοδος του πληθωρισμού αποτελεί προσωρινό φαινόμενο, η συνέχιση του φαινομένου θα οδηγήσει είτε σε αύξηση του βασικού επιτοκίου στην Ευρωζώνη, κάτι που θα εκθέσει σε κίνδυνο τα κράτη-μέλη με υπέρογκο χρέος, είτε στην περαιτέρω αύξηση των τιμών, όπου ίσως θα πρέπει να αντιμετωπιστεί με ελάφρυνση της σχετικής φορολόγησης, και ενίσχυσης των πολιτικών πρόνοιας για τις </w:t>
      </w:r>
      <w:r>
        <w:rPr>
          <w:rFonts w:ascii="Times New Roman" w:eastAsia="Times New Roman" w:hAnsi="Times New Roman" w:cs="Times New Roman"/>
          <w:color w:val="222222"/>
          <w:sz w:val="24"/>
          <w:szCs w:val="24"/>
          <w:lang w:eastAsia="el-GR"/>
        </w:rPr>
        <w:t>πιο ευάλωτες κοινωνικές ομάδες.</w:t>
      </w:r>
    </w:p>
    <w:p w14:paraId="30141120" w14:textId="60D39F86" w:rsidR="00D83183" w:rsidRPr="00D83183" w:rsidRDefault="00D83183" w:rsidP="00D83183">
      <w:pPr>
        <w:pStyle w:val="a5"/>
        <w:numPr>
          <w:ilvl w:val="0"/>
          <w:numId w:val="23"/>
        </w:numPr>
        <w:spacing w:after="0" w:line="360" w:lineRule="auto"/>
        <w:jc w:val="both"/>
        <w:rPr>
          <w:rFonts w:ascii="Times New Roman" w:eastAsia="Times New Roman" w:hAnsi="Times New Roman" w:cs="Times New Roman"/>
          <w:color w:val="222222"/>
          <w:sz w:val="24"/>
          <w:szCs w:val="24"/>
          <w:lang w:eastAsia="el-GR"/>
        </w:rPr>
      </w:pPr>
      <w:r w:rsidRPr="00D83183">
        <w:rPr>
          <w:rFonts w:ascii="Times New Roman" w:eastAsia="Times New Roman" w:hAnsi="Times New Roman" w:cs="Times New Roman"/>
          <w:color w:val="222222"/>
          <w:sz w:val="24"/>
          <w:szCs w:val="24"/>
          <w:lang w:eastAsia="el-GR"/>
        </w:rPr>
        <w:t xml:space="preserve">Επιπλέον φαίνεται πως είναι άμεσης προτεραιότητας ανάγκη η στήριξη των επιχειρήσεων που έχουν πληγεί δυσανάλογα από τις επιπτώσεις της υγειονομικής κρίσης, όπως οι επιχειρήσεις εστίασης, που </w:t>
      </w:r>
      <w:r>
        <w:rPr>
          <w:rFonts w:ascii="Times New Roman" w:eastAsia="Times New Roman" w:hAnsi="Times New Roman" w:cs="Times New Roman"/>
          <w:color w:val="222222"/>
          <w:sz w:val="24"/>
          <w:szCs w:val="24"/>
          <w:lang w:eastAsia="el-GR"/>
        </w:rPr>
        <w:t>όπως προκύπτει από την έρευνα</w:t>
      </w:r>
      <w:r w:rsidRPr="00D83183">
        <w:rPr>
          <w:rFonts w:ascii="Times New Roman" w:eastAsia="Times New Roman" w:hAnsi="Times New Roman" w:cs="Times New Roman"/>
          <w:color w:val="222222"/>
          <w:sz w:val="24"/>
          <w:szCs w:val="24"/>
          <w:lang w:eastAsia="el-GR"/>
        </w:rPr>
        <w:t>, τουλάχιστον για το Α</w:t>
      </w:r>
      <w:r w:rsidR="006118B5">
        <w:rPr>
          <w:rFonts w:ascii="Times New Roman" w:eastAsia="Times New Roman" w:hAnsi="Times New Roman" w:cs="Times New Roman"/>
          <w:color w:val="222222"/>
          <w:sz w:val="24"/>
          <w:szCs w:val="24"/>
          <w:lang w:eastAsia="el-GR"/>
        </w:rPr>
        <w:t>’</w:t>
      </w:r>
      <w:r w:rsidRPr="00D83183">
        <w:rPr>
          <w:rFonts w:ascii="Times New Roman" w:eastAsia="Times New Roman" w:hAnsi="Times New Roman" w:cs="Times New Roman"/>
          <w:color w:val="222222"/>
          <w:sz w:val="24"/>
          <w:szCs w:val="24"/>
          <w:lang w:eastAsia="el-GR"/>
        </w:rPr>
        <w:t xml:space="preserve"> εξάμηνο του 2021, απορρόφησαν την άνοδο των τιμών, προσθέτοντας ακόμα έναν επιβαρυντικό παράγοντα στην προσπάθεια επιβίωσης που καταβάλουν.</w:t>
      </w:r>
    </w:p>
    <w:p w14:paraId="662D4BF1" w14:textId="77777777" w:rsidR="006E782F" w:rsidRPr="006E782F" w:rsidRDefault="006E782F" w:rsidP="006E782F">
      <w:pPr>
        <w:pStyle w:val="a5"/>
        <w:spacing w:after="0" w:line="360" w:lineRule="auto"/>
        <w:ind w:left="360"/>
        <w:jc w:val="both"/>
        <w:rPr>
          <w:rFonts w:ascii="Times New Roman" w:eastAsia="Times New Roman" w:hAnsi="Times New Roman" w:cs="Times New Roman"/>
          <w:color w:val="222222"/>
          <w:sz w:val="24"/>
          <w:szCs w:val="24"/>
          <w:lang w:eastAsia="el-GR"/>
        </w:rPr>
      </w:pPr>
    </w:p>
    <w:p w14:paraId="5AB8CE02" w14:textId="6EB09ACA" w:rsidR="00152DAE" w:rsidRPr="00152DAE" w:rsidRDefault="00A9032A" w:rsidP="00152DAE">
      <w:pPr>
        <w:pStyle w:val="a5"/>
        <w:numPr>
          <w:ilvl w:val="0"/>
          <w:numId w:val="6"/>
        </w:numPr>
        <w:spacing w:after="0" w:line="360" w:lineRule="auto"/>
        <w:jc w:val="both"/>
        <w:rPr>
          <w:rFonts w:ascii="Times New Roman" w:eastAsia="Times New Roman" w:hAnsi="Times New Roman" w:cs="Times New Roman"/>
          <w:b/>
          <w:bCs/>
          <w:color w:val="222222"/>
          <w:sz w:val="24"/>
          <w:szCs w:val="24"/>
          <w:lang w:eastAsia="el-GR"/>
        </w:rPr>
      </w:pPr>
      <w:r w:rsidRPr="00BF5B83">
        <w:rPr>
          <w:rFonts w:ascii="Times New Roman" w:eastAsia="Times New Roman" w:hAnsi="Times New Roman" w:cs="Times New Roman"/>
          <w:b/>
          <w:bCs/>
          <w:color w:val="222222"/>
          <w:sz w:val="24"/>
          <w:szCs w:val="24"/>
          <w:lang w:eastAsia="el-GR"/>
        </w:rPr>
        <w:t xml:space="preserve">Υποχρεώσεις/οφειλές </w:t>
      </w:r>
    </w:p>
    <w:p w14:paraId="123D53A5" w14:textId="319BB38B" w:rsidR="00152DAE" w:rsidRPr="006E782F" w:rsidRDefault="00152DAE" w:rsidP="00152DAE">
      <w:pPr>
        <w:pStyle w:val="a5"/>
        <w:numPr>
          <w:ilvl w:val="0"/>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Μειωμένα είναι τα ποσοστά των επιχειρήσεων που δηλώνουν πως έχουν ληξιπρόθεσμες οφειλές σε όλες τις κατηγορίες υποχρεώσεων σε σύγκριση με εκείνα των προηγούμενων εξαμηνιαίων ερευνών του ΙΜΕ ΓΣΕΒΕΕ (Φεβρουάριος 2021 και Ιούλιος 2020). Όπου έχουν ληφθεί αποτελεσματικά μέτρα για την ανακούφιση των επιχειρήσεων</w:t>
      </w:r>
      <w:r w:rsidR="006118B5">
        <w:rPr>
          <w:rFonts w:ascii="Times New Roman" w:eastAsia="Times New Roman" w:hAnsi="Times New Roman" w:cs="Times New Roman"/>
          <w:bCs/>
          <w:color w:val="222222"/>
          <w:sz w:val="24"/>
          <w:szCs w:val="24"/>
          <w:lang w:eastAsia="el-GR"/>
        </w:rPr>
        <w:t>.</w:t>
      </w:r>
      <w:r w:rsidRPr="006E782F">
        <w:rPr>
          <w:rFonts w:ascii="Times New Roman" w:eastAsia="Times New Roman" w:hAnsi="Times New Roman" w:cs="Times New Roman"/>
          <w:bCs/>
          <w:color w:val="222222"/>
          <w:sz w:val="24"/>
          <w:szCs w:val="24"/>
          <w:lang w:eastAsia="el-GR"/>
        </w:rPr>
        <w:t xml:space="preserve"> οι ληξιπρόθεσμες οφειλές φαίνεται πως έχουν περιοριστεί. </w:t>
      </w:r>
    </w:p>
    <w:p w14:paraId="25A641A7" w14:textId="77777777" w:rsidR="00152DAE" w:rsidRPr="006E782F" w:rsidRDefault="00152DAE" w:rsidP="00152DAE">
      <w:pPr>
        <w:pStyle w:val="a5"/>
        <w:numPr>
          <w:ilvl w:val="0"/>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 xml:space="preserve">Το 19,5% των επιχειρήσεων που έχουν ενοίκιο δήλωσαν πως έχουν καθυστερημένες οφειλές έναντι του 23% της έρευνας του Φεβρουαρίου του 2021 και του 30% της έρευνας του Ιουλίου του 2020. </w:t>
      </w:r>
    </w:p>
    <w:p w14:paraId="4A140E91" w14:textId="77777777" w:rsidR="00152DAE" w:rsidRPr="006E782F" w:rsidRDefault="00152DAE" w:rsidP="00152DAE">
      <w:pPr>
        <w:pStyle w:val="a5"/>
        <w:numPr>
          <w:ilvl w:val="0"/>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lastRenderedPageBreak/>
        <w:t xml:space="preserve">Το 10,2% των επιχειρήσεων δήλωσε πως έχει ληξιπρόθεσμες οφειλές προς το πρώην ΙΚΑ, έναντι του 13,1% που ήταν το Φεβρουάριο του 2021 και του 16,9% τον Ιούλιο του 2020. </w:t>
      </w:r>
    </w:p>
    <w:p w14:paraId="56BA3601" w14:textId="29E86D1A" w:rsidR="00152DAE" w:rsidRPr="006E782F" w:rsidRDefault="00152DAE" w:rsidP="00152DAE">
      <w:pPr>
        <w:pStyle w:val="a5"/>
        <w:numPr>
          <w:ilvl w:val="0"/>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 xml:space="preserve">Υψηλά παραμένουν τα ποσοστά των επιχειρήσεων που έχουν ληξιπρόθεσμες οφειλές προς τον πρώην ΟΑΕΕ (23,8%). Μάλιστα, τα ποσοστά αυτά εκτινάσσονται για τις επιχειρήσεις που έχουν αναστείλει τη λειτουργία τους με κρατική εντολή (32,1%) καθώς και τις επιχειρήσεις εστίασης (37,1%). </w:t>
      </w:r>
    </w:p>
    <w:p w14:paraId="012B1C52" w14:textId="77777777" w:rsidR="00152DAE" w:rsidRPr="006E782F" w:rsidRDefault="00152DAE" w:rsidP="00152DAE">
      <w:pPr>
        <w:pStyle w:val="a5"/>
        <w:numPr>
          <w:ilvl w:val="0"/>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 xml:space="preserve">Αν και μειωμένα, υψηλά παραμένουν τα ποσοστά ληξιπρόθεσμων οφειλών για όλες τις υπόλοιπες κατηγορίες υποχρεώσεων. Συγκεκριμένα: </w:t>
      </w:r>
    </w:p>
    <w:p w14:paraId="4C1ACA70" w14:textId="77777777" w:rsidR="00152DAE" w:rsidRPr="006E782F" w:rsidRDefault="00152DAE" w:rsidP="00152DAE">
      <w:pPr>
        <w:pStyle w:val="a5"/>
        <w:numPr>
          <w:ilvl w:val="1"/>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 xml:space="preserve">το 19,5% των επιχειρήσεων δηλώνει πως έχει ληξιπρόθεσμες οφειλές προς την εφορία, </w:t>
      </w:r>
    </w:p>
    <w:p w14:paraId="1A35340B" w14:textId="77777777" w:rsidR="00152DAE" w:rsidRPr="006E782F" w:rsidRDefault="00152DAE" w:rsidP="00152DAE">
      <w:pPr>
        <w:pStyle w:val="a5"/>
        <w:numPr>
          <w:ilvl w:val="1"/>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 xml:space="preserve">το  20,1% προς προμηθευτές, </w:t>
      </w:r>
    </w:p>
    <w:p w14:paraId="6301C413" w14:textId="77777777" w:rsidR="00152DAE" w:rsidRPr="006E782F" w:rsidRDefault="00152DAE" w:rsidP="00152DAE">
      <w:pPr>
        <w:pStyle w:val="a5"/>
        <w:numPr>
          <w:ilvl w:val="1"/>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 xml:space="preserve">το 15,2% σε λογαριασμούς ενέργειας </w:t>
      </w:r>
    </w:p>
    <w:p w14:paraId="0A62B892" w14:textId="77777777" w:rsidR="00152DAE" w:rsidRPr="006E782F" w:rsidRDefault="00152DAE" w:rsidP="00152DAE">
      <w:pPr>
        <w:pStyle w:val="a5"/>
        <w:numPr>
          <w:ilvl w:val="1"/>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 xml:space="preserve">το 13,1% σε λοιπούς λογαριασμούς (πχ τηλέφωνο, ύδρευση). </w:t>
      </w:r>
    </w:p>
    <w:p w14:paraId="07B02330" w14:textId="0EF25455" w:rsidR="00152DAE" w:rsidRPr="006E782F" w:rsidRDefault="00152DAE" w:rsidP="00152DAE">
      <w:pPr>
        <w:pStyle w:val="a5"/>
        <w:numPr>
          <w:ilvl w:val="0"/>
          <w:numId w:val="21"/>
        </w:numPr>
        <w:spacing w:after="0" w:line="360" w:lineRule="auto"/>
        <w:jc w:val="both"/>
        <w:rPr>
          <w:rFonts w:ascii="Times New Roman" w:eastAsia="Times New Roman" w:hAnsi="Times New Roman" w:cs="Times New Roman"/>
          <w:bCs/>
          <w:color w:val="222222"/>
          <w:sz w:val="24"/>
          <w:szCs w:val="24"/>
          <w:lang w:eastAsia="el-GR"/>
        </w:rPr>
      </w:pPr>
      <w:r w:rsidRPr="006E782F">
        <w:rPr>
          <w:rFonts w:ascii="Times New Roman" w:eastAsia="Times New Roman" w:hAnsi="Times New Roman" w:cs="Times New Roman"/>
          <w:bCs/>
          <w:color w:val="222222"/>
          <w:sz w:val="24"/>
          <w:szCs w:val="24"/>
          <w:lang w:eastAsia="el-GR"/>
        </w:rPr>
        <w:t>Όσον αφορά τις επιχειρήσεις που έχουν τραπεζικά δάνεια το 25,5% αυτών έχει ληξιπρόθεσμες οφειλές προς τις τράπεζες.</w:t>
      </w:r>
    </w:p>
    <w:p w14:paraId="491BAA3E" w14:textId="77777777" w:rsidR="00A23BA0" w:rsidRPr="00577A33" w:rsidRDefault="00A23BA0" w:rsidP="00CB760D">
      <w:pPr>
        <w:spacing w:after="0" w:line="360" w:lineRule="auto"/>
        <w:jc w:val="both"/>
        <w:rPr>
          <w:rFonts w:ascii="Times New Roman" w:eastAsia="Times New Roman" w:hAnsi="Times New Roman" w:cs="Times New Roman"/>
          <w:b/>
          <w:color w:val="222222"/>
          <w:sz w:val="24"/>
          <w:szCs w:val="24"/>
          <w:highlight w:val="yellow"/>
          <w:u w:val="single"/>
          <w:lang w:eastAsia="el-GR"/>
        </w:rPr>
      </w:pPr>
    </w:p>
    <w:p w14:paraId="34DEA9D2" w14:textId="5D25AF56" w:rsidR="00DF32C4" w:rsidRDefault="006E782F" w:rsidP="00CB760D">
      <w:pPr>
        <w:spacing w:after="0" w:line="360" w:lineRule="auto"/>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u w:val="single"/>
          <w:lang w:eastAsia="el-GR"/>
        </w:rPr>
        <w:t>Προσδοκίες</w:t>
      </w:r>
      <w:r w:rsidR="009A50FC" w:rsidRPr="00152DAE">
        <w:rPr>
          <w:rFonts w:ascii="Times New Roman" w:eastAsia="Times New Roman" w:hAnsi="Times New Roman" w:cs="Times New Roman"/>
          <w:b/>
          <w:color w:val="222222"/>
          <w:sz w:val="24"/>
          <w:szCs w:val="24"/>
          <w:u w:val="single"/>
          <w:lang w:eastAsia="el-GR"/>
        </w:rPr>
        <w:t xml:space="preserve"> για το επόμενο εξάμηνο</w:t>
      </w:r>
      <w:r w:rsidR="009A50FC" w:rsidRPr="00152DAE">
        <w:rPr>
          <w:rFonts w:ascii="Times New Roman" w:eastAsia="Times New Roman" w:hAnsi="Times New Roman" w:cs="Times New Roman"/>
          <w:b/>
          <w:color w:val="222222"/>
          <w:sz w:val="24"/>
          <w:szCs w:val="24"/>
          <w:lang w:eastAsia="el-GR"/>
        </w:rPr>
        <w:t xml:space="preserve"> </w:t>
      </w:r>
    </w:p>
    <w:p w14:paraId="09C44C1D" w14:textId="77777777" w:rsidR="00DF32C4" w:rsidRPr="00152DAE" w:rsidRDefault="00DF32C4" w:rsidP="00CB760D">
      <w:pPr>
        <w:spacing w:after="0" w:line="360" w:lineRule="auto"/>
        <w:jc w:val="both"/>
        <w:rPr>
          <w:rFonts w:ascii="Times New Roman" w:eastAsia="Times New Roman" w:hAnsi="Times New Roman" w:cs="Times New Roman"/>
          <w:b/>
          <w:color w:val="222222"/>
          <w:sz w:val="24"/>
          <w:szCs w:val="24"/>
          <w:lang w:eastAsia="el-GR"/>
        </w:rPr>
      </w:pPr>
    </w:p>
    <w:p w14:paraId="5E45FF0C" w14:textId="569310AC" w:rsidR="00152DAE" w:rsidRDefault="00152DAE" w:rsidP="00152DAE">
      <w:pPr>
        <w:pStyle w:val="a5"/>
        <w:numPr>
          <w:ilvl w:val="0"/>
          <w:numId w:val="8"/>
        </w:numPr>
        <w:spacing w:after="0" w:line="360" w:lineRule="auto"/>
        <w:jc w:val="both"/>
        <w:rPr>
          <w:rFonts w:ascii="Times New Roman" w:hAnsi="Times New Roman" w:cs="Times New Roman"/>
          <w:sz w:val="24"/>
          <w:szCs w:val="24"/>
        </w:rPr>
      </w:pPr>
      <w:r w:rsidRPr="00152DAE">
        <w:rPr>
          <w:rFonts w:ascii="Times New Roman" w:hAnsi="Times New Roman" w:cs="Times New Roman"/>
          <w:sz w:val="24"/>
          <w:szCs w:val="24"/>
        </w:rPr>
        <w:t>Οι προσδοκίες για το Β</w:t>
      </w:r>
      <w:r w:rsidR="006118B5">
        <w:rPr>
          <w:rFonts w:ascii="Times New Roman" w:hAnsi="Times New Roman" w:cs="Times New Roman"/>
          <w:sz w:val="24"/>
          <w:szCs w:val="24"/>
        </w:rPr>
        <w:t>’</w:t>
      </w:r>
      <w:r w:rsidRPr="00152DAE">
        <w:rPr>
          <w:rFonts w:ascii="Times New Roman" w:hAnsi="Times New Roman" w:cs="Times New Roman"/>
          <w:sz w:val="24"/>
          <w:szCs w:val="24"/>
        </w:rPr>
        <w:t xml:space="preserve"> εξάμηνο του 2021 παρουσιάζουν βελτίωση σε σύγκριση με τις δυο προηγούμενες έρευνες κλίματος</w:t>
      </w:r>
      <w:r w:rsidR="007F41AD">
        <w:rPr>
          <w:rFonts w:ascii="Times New Roman" w:hAnsi="Times New Roman" w:cs="Times New Roman"/>
          <w:sz w:val="24"/>
          <w:szCs w:val="24"/>
        </w:rPr>
        <w:t>,</w:t>
      </w:r>
      <w:r w:rsidRPr="00152DAE">
        <w:rPr>
          <w:rFonts w:ascii="Times New Roman" w:hAnsi="Times New Roman" w:cs="Times New Roman"/>
          <w:sz w:val="24"/>
          <w:szCs w:val="24"/>
        </w:rPr>
        <w:t xml:space="preserve"> καθώς είναι περισσότερες οι επιχειρήσεις που αισιοδοξούν για το επόμενο διάστημα. Ωστόσο, το μεγαλύτερο μέρος των επιχειρήσεω</w:t>
      </w:r>
      <w:r>
        <w:rPr>
          <w:rFonts w:ascii="Times New Roman" w:hAnsi="Times New Roman" w:cs="Times New Roman"/>
          <w:sz w:val="24"/>
          <w:szCs w:val="24"/>
        </w:rPr>
        <w:t>ν συνεχίζει να είναι απαισιόδοξο.</w:t>
      </w:r>
      <w:r w:rsidRPr="00152DAE">
        <w:rPr>
          <w:rFonts w:ascii="Times New Roman" w:hAnsi="Times New Roman" w:cs="Times New Roman"/>
          <w:sz w:val="24"/>
          <w:szCs w:val="24"/>
        </w:rPr>
        <w:t xml:space="preserve"> </w:t>
      </w:r>
    </w:p>
    <w:p w14:paraId="190ADB31" w14:textId="77777777" w:rsidR="007F41AD" w:rsidRDefault="00152DAE" w:rsidP="006E782F">
      <w:pPr>
        <w:pStyle w:val="a5"/>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w:t>
      </w:r>
      <w:r w:rsidRPr="00152DAE">
        <w:rPr>
          <w:rFonts w:ascii="Times New Roman" w:hAnsi="Times New Roman" w:cs="Times New Roman"/>
          <w:sz w:val="24"/>
          <w:szCs w:val="24"/>
        </w:rPr>
        <w:t xml:space="preserve">ο 39,4% </w:t>
      </w:r>
      <w:r>
        <w:rPr>
          <w:rFonts w:ascii="Times New Roman" w:hAnsi="Times New Roman" w:cs="Times New Roman"/>
          <w:sz w:val="24"/>
          <w:szCs w:val="24"/>
        </w:rPr>
        <w:t xml:space="preserve">των επιχειρήσεων </w:t>
      </w:r>
      <w:r w:rsidRPr="00152DAE">
        <w:rPr>
          <w:rFonts w:ascii="Times New Roman" w:hAnsi="Times New Roman" w:cs="Times New Roman"/>
          <w:sz w:val="24"/>
          <w:szCs w:val="24"/>
        </w:rPr>
        <w:t>αναμένει να επιδεινωθεί η οικονομική του κατάσταση, έναντι του 20,6% που θεωρεί πως θα βελτιωθεί και του 27,4% που δηλώνε</w:t>
      </w:r>
      <w:r w:rsidR="007F41AD">
        <w:rPr>
          <w:rFonts w:ascii="Times New Roman" w:hAnsi="Times New Roman" w:cs="Times New Roman"/>
          <w:sz w:val="24"/>
          <w:szCs w:val="24"/>
        </w:rPr>
        <w:t>ι πως θα παραμείνει αμετάβλητη.</w:t>
      </w:r>
    </w:p>
    <w:p w14:paraId="683F6055" w14:textId="77777777" w:rsidR="007F41AD" w:rsidRPr="007F41AD" w:rsidRDefault="007F41AD" w:rsidP="007F41AD">
      <w:pPr>
        <w:pStyle w:val="a5"/>
        <w:numPr>
          <w:ilvl w:val="0"/>
          <w:numId w:val="8"/>
        </w:numPr>
        <w:spacing w:after="0" w:line="360" w:lineRule="auto"/>
        <w:jc w:val="both"/>
        <w:rPr>
          <w:rFonts w:ascii="Times New Roman" w:hAnsi="Times New Roman" w:cs="Times New Roman"/>
          <w:sz w:val="24"/>
          <w:szCs w:val="24"/>
        </w:rPr>
      </w:pPr>
      <w:r w:rsidRPr="007F41AD">
        <w:rPr>
          <w:rFonts w:ascii="Times New Roman" w:hAnsi="Times New Roman" w:cs="Times New Roman"/>
          <w:sz w:val="24"/>
          <w:szCs w:val="24"/>
        </w:rPr>
        <w:t xml:space="preserve">Ιδιαίτερα απαισιόδοξες είναι οι επιχειρήσεις ως προς τη χρονική εξέλιξη της κρίσης που έχει προκαλέσει η πανδημία. </w:t>
      </w:r>
    </w:p>
    <w:p w14:paraId="625F89F9" w14:textId="77777777" w:rsidR="007F41AD" w:rsidRDefault="007F41AD" w:rsidP="007F41AD">
      <w:pPr>
        <w:pStyle w:val="a5"/>
        <w:numPr>
          <w:ilvl w:val="0"/>
          <w:numId w:val="8"/>
        </w:numPr>
        <w:spacing w:after="0" w:line="360" w:lineRule="auto"/>
        <w:jc w:val="both"/>
        <w:rPr>
          <w:rFonts w:ascii="Times New Roman" w:hAnsi="Times New Roman" w:cs="Times New Roman"/>
          <w:sz w:val="24"/>
          <w:szCs w:val="24"/>
        </w:rPr>
      </w:pPr>
      <w:r w:rsidRPr="007F41AD">
        <w:rPr>
          <w:rFonts w:ascii="Times New Roman" w:hAnsi="Times New Roman" w:cs="Times New Roman"/>
          <w:sz w:val="24"/>
          <w:szCs w:val="24"/>
        </w:rPr>
        <w:t>Το 86,4% των μικρών και πολύ μικρών επιχειρήσεων θεωρεί πως η οικονομική κρίση που έχει προκαλέσει η πανδημία θα διαρκέσει τουλάχιστον άλλα 2 χρόνια, με τους επιχειρηματίες της εστίασης να καταγράφουν το μεγαλύτερο ποσοστό (91%).</w:t>
      </w:r>
    </w:p>
    <w:p w14:paraId="4AA8AE28" w14:textId="77777777" w:rsidR="00DF32C4" w:rsidRPr="007F41AD" w:rsidRDefault="00DF32C4" w:rsidP="00DF32C4">
      <w:pPr>
        <w:pStyle w:val="a5"/>
        <w:spacing w:after="0" w:line="360" w:lineRule="auto"/>
        <w:ind w:left="363"/>
        <w:jc w:val="both"/>
        <w:rPr>
          <w:rFonts w:ascii="Times New Roman" w:hAnsi="Times New Roman" w:cs="Times New Roman"/>
          <w:sz w:val="24"/>
          <w:szCs w:val="24"/>
        </w:rPr>
      </w:pPr>
    </w:p>
    <w:p w14:paraId="58F6CBE0" w14:textId="40393C28" w:rsidR="006E782F" w:rsidRPr="006E782F" w:rsidRDefault="006E782F" w:rsidP="006E782F">
      <w:pPr>
        <w:pStyle w:val="a5"/>
        <w:numPr>
          <w:ilvl w:val="0"/>
          <w:numId w:val="6"/>
        </w:numPr>
        <w:spacing w:after="0" w:line="360" w:lineRule="auto"/>
        <w:jc w:val="both"/>
        <w:rPr>
          <w:rFonts w:ascii="Times New Roman" w:eastAsia="Times New Roman" w:hAnsi="Times New Roman" w:cs="Times New Roman"/>
          <w:b/>
          <w:color w:val="222222"/>
          <w:sz w:val="24"/>
          <w:szCs w:val="24"/>
          <w:lang w:eastAsia="el-GR"/>
        </w:rPr>
      </w:pPr>
      <w:r w:rsidRPr="00152DAE">
        <w:rPr>
          <w:rFonts w:ascii="Times New Roman" w:eastAsia="Times New Roman" w:hAnsi="Times New Roman" w:cs="Times New Roman"/>
          <w:b/>
          <w:color w:val="222222"/>
          <w:sz w:val="24"/>
          <w:szCs w:val="24"/>
          <w:lang w:eastAsia="el-GR"/>
        </w:rPr>
        <w:t xml:space="preserve">Βιωσιμότητα επιχειρήσεων </w:t>
      </w:r>
    </w:p>
    <w:p w14:paraId="7971318C" w14:textId="01914A90" w:rsidR="00152DAE" w:rsidRPr="00152DAE" w:rsidRDefault="00152DAE" w:rsidP="00152DAE">
      <w:pPr>
        <w:pStyle w:val="a5"/>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Υψηλό παραμένει</w:t>
      </w:r>
      <w:r w:rsidRPr="00152DAE">
        <w:rPr>
          <w:rFonts w:ascii="Times New Roman" w:hAnsi="Times New Roman" w:cs="Times New Roman"/>
          <w:sz w:val="24"/>
          <w:szCs w:val="24"/>
        </w:rPr>
        <w:t xml:space="preserve"> το ποσοστό τ</w:t>
      </w:r>
      <w:r>
        <w:rPr>
          <w:rFonts w:ascii="Times New Roman" w:hAnsi="Times New Roman" w:cs="Times New Roman"/>
          <w:sz w:val="24"/>
          <w:szCs w:val="24"/>
        </w:rPr>
        <w:t>ων επιχειρήσεων που εκφράζει το</w:t>
      </w:r>
      <w:r w:rsidRPr="00152DAE">
        <w:rPr>
          <w:rFonts w:ascii="Times New Roman" w:hAnsi="Times New Roman" w:cs="Times New Roman"/>
          <w:sz w:val="24"/>
          <w:szCs w:val="24"/>
        </w:rPr>
        <w:t xml:space="preserve"> φόβο για ενδεχόμενη διακοπή της δραστηριότητας του το επόμενο διάστημα. </w:t>
      </w:r>
    </w:p>
    <w:p w14:paraId="154EF3C2" w14:textId="425F563D" w:rsidR="002452C5" w:rsidRDefault="00152DAE" w:rsidP="00152DAE">
      <w:pPr>
        <w:pStyle w:val="a5"/>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Σ</w:t>
      </w:r>
      <w:r w:rsidRPr="00152DAE">
        <w:rPr>
          <w:rFonts w:ascii="Times New Roman" w:hAnsi="Times New Roman" w:cs="Times New Roman"/>
          <w:sz w:val="24"/>
          <w:szCs w:val="24"/>
        </w:rPr>
        <w:t xml:space="preserve">χεδόν 4 στις 10 μικρές και πολύ μικρές επιχειρήσεις (36,7%) </w:t>
      </w:r>
      <w:r w:rsidR="00A62CBE" w:rsidRPr="00152DAE">
        <w:rPr>
          <w:rFonts w:ascii="Times New Roman" w:hAnsi="Times New Roman" w:cs="Times New Roman"/>
          <w:sz w:val="24"/>
          <w:szCs w:val="24"/>
        </w:rPr>
        <w:t>εκφράζουν τον φόβο για ενδεχόμενη διακοπή της δραστηριότητας τους κατά το επόμενο διάστημα.</w:t>
      </w:r>
    </w:p>
    <w:p w14:paraId="5233E193" w14:textId="2FA7F2A5" w:rsidR="00152DAE" w:rsidRDefault="00152DAE" w:rsidP="00152DAE">
      <w:pPr>
        <w:pStyle w:val="a5"/>
        <w:numPr>
          <w:ilvl w:val="0"/>
          <w:numId w:val="8"/>
        </w:numPr>
        <w:spacing w:after="0" w:line="360" w:lineRule="auto"/>
        <w:jc w:val="both"/>
        <w:rPr>
          <w:rFonts w:ascii="Times New Roman" w:hAnsi="Times New Roman" w:cs="Times New Roman"/>
          <w:sz w:val="24"/>
          <w:szCs w:val="24"/>
        </w:rPr>
      </w:pPr>
      <w:r w:rsidRPr="00152DAE">
        <w:rPr>
          <w:rFonts w:ascii="Times New Roman" w:hAnsi="Times New Roman" w:cs="Times New Roman"/>
          <w:sz w:val="24"/>
          <w:szCs w:val="24"/>
        </w:rPr>
        <w:lastRenderedPageBreak/>
        <w:t xml:space="preserve">Εξαιρετικά δυσοίωνη παραμένει η κατάσταση ως προς τη βιωσιμότητα των επιχειρήσεων που </w:t>
      </w:r>
      <w:r w:rsidR="007F41AD">
        <w:rPr>
          <w:rFonts w:ascii="Times New Roman" w:hAnsi="Times New Roman" w:cs="Times New Roman"/>
          <w:sz w:val="24"/>
          <w:szCs w:val="24"/>
        </w:rPr>
        <w:t>ανέστειλαν</w:t>
      </w:r>
      <w:r w:rsidRPr="00152DAE">
        <w:rPr>
          <w:rFonts w:ascii="Times New Roman" w:hAnsi="Times New Roman" w:cs="Times New Roman"/>
          <w:sz w:val="24"/>
          <w:szCs w:val="24"/>
        </w:rPr>
        <w:t xml:space="preserve"> τη λειτουργία τους με κρατική εντολή. Συγκεκριμένα οι μισές επιχειρήσεις (50,9%) που </w:t>
      </w:r>
      <w:r>
        <w:rPr>
          <w:rFonts w:ascii="Times New Roman" w:hAnsi="Times New Roman" w:cs="Times New Roman"/>
          <w:sz w:val="24"/>
          <w:szCs w:val="24"/>
        </w:rPr>
        <w:t>ανέστειλα</w:t>
      </w:r>
      <w:r w:rsidR="007F41AD">
        <w:rPr>
          <w:rFonts w:ascii="Times New Roman" w:hAnsi="Times New Roman" w:cs="Times New Roman"/>
          <w:sz w:val="24"/>
          <w:szCs w:val="24"/>
        </w:rPr>
        <w:t>ν</w:t>
      </w:r>
      <w:r>
        <w:rPr>
          <w:rFonts w:ascii="Times New Roman" w:hAnsi="Times New Roman" w:cs="Times New Roman"/>
          <w:sz w:val="24"/>
          <w:szCs w:val="24"/>
        </w:rPr>
        <w:t xml:space="preserve"> τη λειτουργία τους με κρατική εντολή</w:t>
      </w:r>
      <w:r w:rsidRPr="00152DAE">
        <w:rPr>
          <w:rFonts w:ascii="Times New Roman" w:hAnsi="Times New Roman" w:cs="Times New Roman"/>
          <w:sz w:val="24"/>
          <w:szCs w:val="24"/>
        </w:rPr>
        <w:t xml:space="preserve"> εκφράζουν το φόβο πως θα διακόψουν την </w:t>
      </w:r>
      <w:r>
        <w:rPr>
          <w:rFonts w:ascii="Times New Roman" w:hAnsi="Times New Roman" w:cs="Times New Roman"/>
          <w:sz w:val="24"/>
          <w:szCs w:val="24"/>
        </w:rPr>
        <w:t>δραστηριότητα</w:t>
      </w:r>
      <w:r w:rsidRPr="00152DAE">
        <w:rPr>
          <w:rFonts w:ascii="Times New Roman" w:hAnsi="Times New Roman" w:cs="Times New Roman"/>
          <w:sz w:val="24"/>
          <w:szCs w:val="24"/>
        </w:rPr>
        <w:t xml:space="preserve"> τους το επόμενο διάστημα. Αντίστοιχα είναι και τα στοιχεία για τις επιχειρήσεις εστίασης (48,5%)</w:t>
      </w:r>
    </w:p>
    <w:p w14:paraId="442E0228" w14:textId="77777777" w:rsidR="00DF32C4" w:rsidRDefault="00DF32C4" w:rsidP="00DF32C4">
      <w:pPr>
        <w:pStyle w:val="a5"/>
        <w:spacing w:after="0" w:line="360" w:lineRule="auto"/>
        <w:ind w:left="363"/>
        <w:jc w:val="both"/>
        <w:rPr>
          <w:rFonts w:ascii="Times New Roman" w:hAnsi="Times New Roman" w:cs="Times New Roman"/>
          <w:sz w:val="24"/>
          <w:szCs w:val="24"/>
        </w:rPr>
      </w:pPr>
    </w:p>
    <w:p w14:paraId="669B524F" w14:textId="7059EA71" w:rsidR="00152DAE" w:rsidRPr="00152DAE" w:rsidRDefault="00152DAE" w:rsidP="00152DAE">
      <w:pPr>
        <w:pStyle w:val="a5"/>
        <w:numPr>
          <w:ilvl w:val="0"/>
          <w:numId w:val="6"/>
        </w:numPr>
        <w:spacing w:after="0" w:line="360" w:lineRule="auto"/>
        <w:jc w:val="both"/>
        <w:rPr>
          <w:rFonts w:ascii="Times New Roman" w:eastAsia="Times New Roman" w:hAnsi="Times New Roman" w:cs="Times New Roman"/>
          <w:b/>
          <w:bCs/>
          <w:color w:val="222222"/>
          <w:sz w:val="24"/>
          <w:szCs w:val="24"/>
          <w:lang w:eastAsia="el-GR"/>
        </w:rPr>
      </w:pPr>
      <w:r w:rsidRPr="00152DAE">
        <w:rPr>
          <w:rFonts w:ascii="Times New Roman" w:eastAsia="Times New Roman" w:hAnsi="Times New Roman" w:cs="Times New Roman"/>
          <w:b/>
          <w:bCs/>
          <w:color w:val="222222"/>
          <w:sz w:val="24"/>
          <w:szCs w:val="24"/>
          <w:lang w:eastAsia="el-GR"/>
        </w:rPr>
        <w:t>Τιμές αγαθών/υπηρεσιών</w:t>
      </w:r>
    </w:p>
    <w:p w14:paraId="4483E650" w14:textId="77777777" w:rsidR="00152DAE" w:rsidRPr="00152DAE" w:rsidRDefault="00152DAE" w:rsidP="00152DAE">
      <w:pPr>
        <w:pStyle w:val="a5"/>
        <w:numPr>
          <w:ilvl w:val="0"/>
          <w:numId w:val="22"/>
        </w:numPr>
        <w:spacing w:after="0" w:line="360" w:lineRule="auto"/>
        <w:jc w:val="both"/>
        <w:rPr>
          <w:rFonts w:ascii="Times New Roman" w:eastAsia="Times New Roman" w:hAnsi="Times New Roman" w:cs="Times New Roman"/>
          <w:bCs/>
          <w:color w:val="222222"/>
          <w:sz w:val="24"/>
          <w:szCs w:val="24"/>
          <w:lang w:eastAsia="el-GR"/>
        </w:rPr>
      </w:pPr>
      <w:r w:rsidRPr="00152DAE">
        <w:rPr>
          <w:rFonts w:ascii="Times New Roman" w:eastAsia="Times New Roman" w:hAnsi="Times New Roman" w:cs="Times New Roman"/>
          <w:bCs/>
          <w:color w:val="222222"/>
          <w:sz w:val="24"/>
          <w:szCs w:val="24"/>
          <w:lang w:eastAsia="el-GR"/>
        </w:rPr>
        <w:t xml:space="preserve">Το 22,2% των επιχειρήσεων δηλώνουν ότι θα αυξήσουν τις τιμές τους το επόμενο εξάμηνο, έναντι μόλις του 8,2% που δηλώνει πως θα τις μειώσει και του 61,8% που δεν θα τις μεταβάλει. </w:t>
      </w:r>
    </w:p>
    <w:p w14:paraId="6AE371BE" w14:textId="21F9F8B7" w:rsidR="00152DAE" w:rsidRPr="00152DAE" w:rsidRDefault="00152DAE" w:rsidP="00152DAE">
      <w:pPr>
        <w:pStyle w:val="a5"/>
        <w:numPr>
          <w:ilvl w:val="0"/>
          <w:numId w:val="22"/>
        </w:numPr>
        <w:spacing w:after="0" w:line="360" w:lineRule="auto"/>
        <w:jc w:val="both"/>
        <w:rPr>
          <w:rFonts w:ascii="Times New Roman" w:eastAsia="Times New Roman" w:hAnsi="Times New Roman" w:cs="Times New Roman"/>
          <w:bCs/>
          <w:color w:val="222222"/>
          <w:sz w:val="24"/>
          <w:szCs w:val="24"/>
          <w:lang w:eastAsia="el-GR"/>
        </w:rPr>
      </w:pPr>
      <w:r w:rsidRPr="00152DAE">
        <w:rPr>
          <w:rFonts w:ascii="Times New Roman" w:eastAsia="Times New Roman" w:hAnsi="Times New Roman" w:cs="Times New Roman"/>
          <w:bCs/>
          <w:color w:val="222222"/>
          <w:sz w:val="24"/>
          <w:szCs w:val="24"/>
          <w:lang w:eastAsia="el-GR"/>
        </w:rPr>
        <w:t xml:space="preserve">Το ποσοστό των επιχειρήσεων που δηλώνουν πως θα αυξήσουν τις τιμές τους είναι το μεγαλύτερο που έχει καταγραφεί σε έρευνα κλίματος του ΙΜΕ ΓΣΕΒΕΕ και μάλιστα είναι τριπλάσιο σε σχέση με τις έρευνες των τελευταίων </w:t>
      </w:r>
      <w:r w:rsidR="00820ED0">
        <w:rPr>
          <w:rFonts w:ascii="Times New Roman" w:eastAsia="Times New Roman" w:hAnsi="Times New Roman" w:cs="Times New Roman"/>
          <w:bCs/>
          <w:color w:val="222222"/>
          <w:sz w:val="24"/>
          <w:szCs w:val="24"/>
          <w:lang w:eastAsia="el-GR"/>
        </w:rPr>
        <w:t xml:space="preserve">πέντε </w:t>
      </w:r>
      <w:r w:rsidRPr="00152DAE">
        <w:rPr>
          <w:rFonts w:ascii="Times New Roman" w:eastAsia="Times New Roman" w:hAnsi="Times New Roman" w:cs="Times New Roman"/>
          <w:bCs/>
          <w:color w:val="222222"/>
          <w:sz w:val="24"/>
          <w:szCs w:val="24"/>
          <w:lang w:eastAsia="el-GR"/>
        </w:rPr>
        <w:t xml:space="preserve">ετών.  </w:t>
      </w:r>
    </w:p>
    <w:p w14:paraId="3E68DBB2" w14:textId="2443E368" w:rsidR="00152DAE" w:rsidRDefault="00152DAE" w:rsidP="006E782F">
      <w:pPr>
        <w:pStyle w:val="a5"/>
        <w:numPr>
          <w:ilvl w:val="0"/>
          <w:numId w:val="22"/>
        </w:numPr>
        <w:spacing w:after="0" w:line="360" w:lineRule="auto"/>
        <w:jc w:val="both"/>
        <w:rPr>
          <w:rFonts w:ascii="Times New Roman" w:eastAsia="Times New Roman" w:hAnsi="Times New Roman" w:cs="Times New Roman"/>
          <w:bCs/>
          <w:color w:val="222222"/>
          <w:sz w:val="24"/>
          <w:szCs w:val="24"/>
          <w:lang w:eastAsia="el-GR"/>
        </w:rPr>
      </w:pPr>
      <w:r w:rsidRPr="00152DAE">
        <w:rPr>
          <w:rFonts w:ascii="Times New Roman" w:eastAsia="Times New Roman" w:hAnsi="Times New Roman" w:cs="Times New Roman"/>
          <w:bCs/>
          <w:color w:val="222222"/>
          <w:sz w:val="24"/>
          <w:szCs w:val="24"/>
          <w:lang w:eastAsia="el-GR"/>
        </w:rPr>
        <w:t>Από τα στοιχεία φαίνεται πως το επόμενο εξάμηνο θα συνεχιστούν οι ανατιμήσεις σε προϊόντα και υπηρεσίες</w:t>
      </w:r>
      <w:r w:rsidR="00820ED0">
        <w:rPr>
          <w:rFonts w:ascii="Times New Roman" w:eastAsia="Times New Roman" w:hAnsi="Times New Roman" w:cs="Times New Roman"/>
          <w:bCs/>
          <w:color w:val="222222"/>
          <w:sz w:val="24"/>
          <w:szCs w:val="24"/>
          <w:lang w:eastAsia="el-GR"/>
        </w:rPr>
        <w:t>,</w:t>
      </w:r>
      <w:r w:rsidRPr="00152DAE">
        <w:rPr>
          <w:rFonts w:ascii="Times New Roman" w:eastAsia="Times New Roman" w:hAnsi="Times New Roman" w:cs="Times New Roman"/>
          <w:bCs/>
          <w:color w:val="222222"/>
          <w:sz w:val="24"/>
          <w:szCs w:val="24"/>
          <w:lang w:eastAsia="el-GR"/>
        </w:rPr>
        <w:t xml:space="preserve"> ένα ζήτημα που υπό την παρούσα δυσμενή συγκυρία μειώνει περ</w:t>
      </w:r>
      <w:r w:rsidR="00F2310B">
        <w:rPr>
          <w:rFonts w:ascii="Times New Roman" w:eastAsia="Times New Roman" w:hAnsi="Times New Roman" w:cs="Times New Roman"/>
          <w:bCs/>
          <w:color w:val="222222"/>
          <w:sz w:val="24"/>
          <w:szCs w:val="24"/>
          <w:lang w:eastAsia="el-GR"/>
        </w:rPr>
        <w:t>αι</w:t>
      </w:r>
      <w:r w:rsidRPr="00152DAE">
        <w:rPr>
          <w:rFonts w:ascii="Times New Roman" w:eastAsia="Times New Roman" w:hAnsi="Times New Roman" w:cs="Times New Roman"/>
          <w:bCs/>
          <w:color w:val="222222"/>
          <w:sz w:val="24"/>
          <w:szCs w:val="24"/>
          <w:lang w:eastAsia="el-GR"/>
        </w:rPr>
        <w:t>τ</w:t>
      </w:r>
      <w:r w:rsidR="00F2310B">
        <w:rPr>
          <w:rFonts w:ascii="Times New Roman" w:eastAsia="Times New Roman" w:hAnsi="Times New Roman" w:cs="Times New Roman"/>
          <w:bCs/>
          <w:color w:val="222222"/>
          <w:sz w:val="24"/>
          <w:szCs w:val="24"/>
          <w:lang w:eastAsia="el-GR"/>
        </w:rPr>
        <w:t>έ</w:t>
      </w:r>
      <w:r w:rsidRPr="00152DAE">
        <w:rPr>
          <w:rFonts w:ascii="Times New Roman" w:eastAsia="Times New Roman" w:hAnsi="Times New Roman" w:cs="Times New Roman"/>
          <w:bCs/>
          <w:color w:val="222222"/>
          <w:sz w:val="24"/>
          <w:szCs w:val="24"/>
          <w:lang w:eastAsia="el-GR"/>
        </w:rPr>
        <w:t>ρω το εισόδημα νοικοκυριών και επιχειρήσεων.</w:t>
      </w:r>
    </w:p>
    <w:p w14:paraId="40DDB8AC" w14:textId="77777777" w:rsidR="00D83183" w:rsidRPr="006E782F" w:rsidRDefault="00D83183" w:rsidP="00D83183">
      <w:pPr>
        <w:pStyle w:val="a5"/>
        <w:spacing w:after="0" w:line="360" w:lineRule="auto"/>
        <w:ind w:left="360"/>
        <w:jc w:val="both"/>
        <w:rPr>
          <w:rFonts w:ascii="Times New Roman" w:eastAsia="Times New Roman" w:hAnsi="Times New Roman" w:cs="Times New Roman"/>
          <w:bCs/>
          <w:color w:val="222222"/>
          <w:sz w:val="24"/>
          <w:szCs w:val="24"/>
          <w:lang w:eastAsia="el-GR"/>
        </w:rPr>
      </w:pPr>
    </w:p>
    <w:p w14:paraId="3A7C635C" w14:textId="51E44CF3" w:rsidR="00152DAE" w:rsidRPr="006E782F" w:rsidRDefault="005C06B9" w:rsidP="00152DAE">
      <w:pPr>
        <w:pStyle w:val="a5"/>
        <w:numPr>
          <w:ilvl w:val="0"/>
          <w:numId w:val="6"/>
        </w:numPr>
        <w:spacing w:after="0" w:line="360" w:lineRule="auto"/>
        <w:jc w:val="both"/>
        <w:rPr>
          <w:rFonts w:ascii="Times New Roman" w:eastAsia="Times New Roman" w:hAnsi="Times New Roman" w:cs="Times New Roman"/>
          <w:b/>
          <w:bCs/>
          <w:color w:val="222222"/>
          <w:sz w:val="24"/>
          <w:szCs w:val="24"/>
          <w:lang w:eastAsia="el-GR"/>
        </w:rPr>
      </w:pPr>
      <w:r w:rsidRPr="006E782F">
        <w:rPr>
          <w:rFonts w:ascii="Times New Roman" w:eastAsia="Times New Roman" w:hAnsi="Times New Roman" w:cs="Times New Roman"/>
          <w:b/>
          <w:bCs/>
          <w:color w:val="222222"/>
          <w:sz w:val="24"/>
          <w:szCs w:val="24"/>
          <w:lang w:eastAsia="el-GR"/>
        </w:rPr>
        <w:t xml:space="preserve">Υποχρεώσεις/οφειλές </w:t>
      </w:r>
    </w:p>
    <w:p w14:paraId="0CC28235" w14:textId="7F97CA3A" w:rsidR="006E782F" w:rsidRDefault="006E782F" w:rsidP="006E782F">
      <w:pPr>
        <w:pStyle w:val="a5"/>
        <w:numPr>
          <w:ilvl w:val="0"/>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Ως προς τις εκτιμήσε</w:t>
      </w:r>
      <w:r>
        <w:rPr>
          <w:rFonts w:ascii="Times New Roman" w:hAnsi="Times New Roman" w:cs="Times New Roman"/>
          <w:sz w:val="24"/>
          <w:szCs w:val="24"/>
        </w:rPr>
        <w:t>ις των επιχειρήσεων</w:t>
      </w:r>
      <w:r w:rsidRPr="006E782F">
        <w:rPr>
          <w:rFonts w:ascii="Times New Roman" w:hAnsi="Times New Roman" w:cs="Times New Roman"/>
          <w:sz w:val="24"/>
          <w:szCs w:val="24"/>
        </w:rPr>
        <w:t xml:space="preserve"> </w:t>
      </w:r>
      <w:r>
        <w:rPr>
          <w:rFonts w:ascii="Times New Roman" w:hAnsi="Times New Roman" w:cs="Times New Roman"/>
          <w:sz w:val="24"/>
          <w:szCs w:val="24"/>
        </w:rPr>
        <w:t xml:space="preserve">σχετικά με τις υποχρεώσεις τους </w:t>
      </w:r>
      <w:r w:rsidRPr="006E782F">
        <w:rPr>
          <w:rFonts w:ascii="Times New Roman" w:hAnsi="Times New Roman" w:cs="Times New Roman"/>
          <w:sz w:val="24"/>
          <w:szCs w:val="24"/>
        </w:rPr>
        <w:t>για το επόμενο διάστημα</w:t>
      </w:r>
      <w:r w:rsidR="0026638B">
        <w:rPr>
          <w:rFonts w:ascii="Times New Roman" w:hAnsi="Times New Roman" w:cs="Times New Roman"/>
          <w:sz w:val="24"/>
          <w:szCs w:val="24"/>
        </w:rPr>
        <w:t>,</w:t>
      </w:r>
      <w:r w:rsidRPr="006E782F">
        <w:rPr>
          <w:rFonts w:ascii="Times New Roman" w:hAnsi="Times New Roman" w:cs="Times New Roman"/>
          <w:sz w:val="24"/>
          <w:szCs w:val="24"/>
        </w:rPr>
        <w:t xml:space="preserve"> η κατάσταση προδιαγράφεται δύσκολη</w:t>
      </w:r>
      <w:r w:rsidR="00820ED0">
        <w:rPr>
          <w:rFonts w:ascii="Times New Roman" w:hAnsi="Times New Roman" w:cs="Times New Roman"/>
          <w:sz w:val="24"/>
          <w:szCs w:val="24"/>
        </w:rPr>
        <w:t>,</w:t>
      </w:r>
      <w:r w:rsidRPr="006E782F">
        <w:rPr>
          <w:rFonts w:ascii="Times New Roman" w:hAnsi="Times New Roman" w:cs="Times New Roman"/>
          <w:sz w:val="24"/>
          <w:szCs w:val="24"/>
        </w:rPr>
        <w:t xml:space="preserve"> </w:t>
      </w:r>
      <w:r>
        <w:rPr>
          <w:rFonts w:ascii="Times New Roman" w:hAnsi="Times New Roman" w:cs="Times New Roman"/>
          <w:sz w:val="24"/>
          <w:szCs w:val="24"/>
        </w:rPr>
        <w:t xml:space="preserve">παρόλο που </w:t>
      </w:r>
      <w:r w:rsidR="00820ED0">
        <w:rPr>
          <w:rFonts w:ascii="Times New Roman" w:hAnsi="Times New Roman" w:cs="Times New Roman"/>
          <w:sz w:val="24"/>
          <w:szCs w:val="24"/>
        </w:rPr>
        <w:t>τα ευρήματα είναι σημαντικά καλύτερα</w:t>
      </w:r>
      <w:r w:rsidRPr="006E782F">
        <w:rPr>
          <w:rFonts w:ascii="Times New Roman" w:hAnsi="Times New Roman" w:cs="Times New Roman"/>
          <w:sz w:val="24"/>
          <w:szCs w:val="24"/>
        </w:rPr>
        <w:t xml:space="preserve"> σε σχέση με </w:t>
      </w:r>
      <w:r w:rsidR="00820ED0">
        <w:rPr>
          <w:rFonts w:ascii="Times New Roman" w:hAnsi="Times New Roman" w:cs="Times New Roman"/>
          <w:sz w:val="24"/>
          <w:szCs w:val="24"/>
        </w:rPr>
        <w:t>εκείνα</w:t>
      </w:r>
      <w:r w:rsidRPr="006E782F">
        <w:rPr>
          <w:rFonts w:ascii="Times New Roman" w:hAnsi="Times New Roman" w:cs="Times New Roman"/>
          <w:sz w:val="24"/>
          <w:szCs w:val="24"/>
        </w:rPr>
        <w:t xml:space="preserve"> της έρευνας του Φεβρουάριο του 2021. </w:t>
      </w:r>
    </w:p>
    <w:p w14:paraId="6FE7FDC7" w14:textId="7DE6078D" w:rsidR="006E782F" w:rsidRPr="006E782F" w:rsidRDefault="006E782F" w:rsidP="006E782F">
      <w:pPr>
        <w:pStyle w:val="a5"/>
        <w:numPr>
          <w:ilvl w:val="0"/>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 xml:space="preserve">1 στις 5 επιχειρήσεις θεωρεί πως το επόμενο εξάμηνο δεν θα μπορέσει να ανταποκριθεί : </w:t>
      </w:r>
    </w:p>
    <w:p w14:paraId="31FFB8E0" w14:textId="77777777" w:rsidR="006E782F" w:rsidRPr="006E782F" w:rsidRDefault="006E782F" w:rsidP="006E782F">
      <w:pPr>
        <w:pStyle w:val="a5"/>
        <w:numPr>
          <w:ilvl w:val="1"/>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στις υποχρεώσεις προς τον πρώην ΟΑΕΕ (20,8%)</w:t>
      </w:r>
    </w:p>
    <w:p w14:paraId="3A642D56" w14:textId="77777777" w:rsidR="006E782F" w:rsidRPr="006E782F" w:rsidRDefault="006E782F" w:rsidP="006E782F">
      <w:pPr>
        <w:pStyle w:val="a5"/>
        <w:numPr>
          <w:ilvl w:val="1"/>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στις φορολογικές της υποχρεώσεις (20,8%)</w:t>
      </w:r>
    </w:p>
    <w:p w14:paraId="302C0C6B" w14:textId="77777777" w:rsidR="006E782F" w:rsidRPr="006E782F" w:rsidRDefault="006E782F" w:rsidP="006E782F">
      <w:pPr>
        <w:pStyle w:val="a5"/>
        <w:numPr>
          <w:ilvl w:val="1"/>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στις υποχρεώσεις ενοικίου (19% των επιχειρήσεων που έχουν ενοίκιο)</w:t>
      </w:r>
    </w:p>
    <w:p w14:paraId="24E525FC" w14:textId="77777777" w:rsidR="006E782F" w:rsidRPr="006E782F" w:rsidRDefault="006E782F" w:rsidP="006E782F">
      <w:pPr>
        <w:pStyle w:val="a5"/>
        <w:numPr>
          <w:ilvl w:val="1"/>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στις υποχρεώσεις προς προμηθευτές (19,2%)</w:t>
      </w:r>
    </w:p>
    <w:p w14:paraId="05EF0878" w14:textId="77777777" w:rsidR="006E782F" w:rsidRPr="006E782F" w:rsidRDefault="006E782F" w:rsidP="006E782F">
      <w:pPr>
        <w:pStyle w:val="a5"/>
        <w:numPr>
          <w:ilvl w:val="1"/>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στις τραπεζικές της υποχρεώσεις (20,2% των επιχειρήσεων που έχουν τραπεζικά δάνεια)</w:t>
      </w:r>
    </w:p>
    <w:p w14:paraId="3E24A7DB" w14:textId="77777777" w:rsidR="006E782F" w:rsidRPr="006E782F" w:rsidRDefault="006E782F" w:rsidP="006E782F">
      <w:pPr>
        <w:pStyle w:val="a5"/>
        <w:numPr>
          <w:ilvl w:val="0"/>
          <w:numId w:val="8"/>
        </w:numPr>
        <w:spacing w:after="0" w:line="360" w:lineRule="auto"/>
        <w:jc w:val="both"/>
        <w:rPr>
          <w:rFonts w:ascii="Times New Roman" w:hAnsi="Times New Roman" w:cs="Times New Roman"/>
          <w:sz w:val="24"/>
          <w:szCs w:val="24"/>
        </w:rPr>
      </w:pPr>
      <w:r w:rsidRPr="006E782F">
        <w:rPr>
          <w:rFonts w:ascii="Times New Roman" w:hAnsi="Times New Roman" w:cs="Times New Roman"/>
          <w:sz w:val="24"/>
          <w:szCs w:val="24"/>
        </w:rPr>
        <w:t xml:space="preserve">Επιπλέον το 16,5% των επιχειρήσεων δηλώνει πως δεν θα μπορέσει να ανταποκριθεί στις υποχρεώσεις σε λογαριασμούς ενέργειες, το 15,9% σε λοιπούς λογαριασμούς και το 16,9% στις υποχρεώσεις προς το πρώην ΙΚΑ.  </w:t>
      </w:r>
    </w:p>
    <w:p w14:paraId="6060223F" w14:textId="77777777" w:rsidR="006E782F" w:rsidRDefault="006E782F" w:rsidP="006E782F">
      <w:pPr>
        <w:pStyle w:val="a5"/>
        <w:spacing w:after="0" w:line="360" w:lineRule="auto"/>
        <w:ind w:left="363"/>
        <w:jc w:val="both"/>
        <w:rPr>
          <w:rFonts w:ascii="Times New Roman" w:hAnsi="Times New Roman" w:cs="Times New Roman"/>
          <w:sz w:val="24"/>
          <w:szCs w:val="24"/>
          <w:highlight w:val="yellow"/>
        </w:rPr>
      </w:pPr>
    </w:p>
    <w:p w14:paraId="7C00A5D8" w14:textId="4EC52380" w:rsidR="00CB760D" w:rsidRPr="00577A33" w:rsidRDefault="00CB760D" w:rsidP="00696AF7">
      <w:pPr>
        <w:spacing w:after="0" w:line="360" w:lineRule="auto"/>
        <w:ind w:left="360"/>
        <w:jc w:val="both"/>
        <w:rPr>
          <w:rFonts w:ascii="Times New Roman" w:hAnsi="Times New Roman" w:cs="Times New Roman"/>
          <w:sz w:val="24"/>
          <w:szCs w:val="24"/>
          <w:highlight w:val="yellow"/>
        </w:rPr>
      </w:pPr>
    </w:p>
    <w:p w14:paraId="0FB33C49" w14:textId="77777777" w:rsidR="00ED02ED" w:rsidRPr="00E36734" w:rsidRDefault="00ED02ED" w:rsidP="00761263">
      <w:pPr>
        <w:spacing w:after="0" w:line="360" w:lineRule="auto"/>
        <w:jc w:val="both"/>
        <w:rPr>
          <w:rFonts w:ascii="Times New Roman" w:eastAsia="Times New Roman" w:hAnsi="Times New Roman" w:cs="Times New Roman"/>
          <w:b/>
          <w:color w:val="E36C0A"/>
          <w:sz w:val="24"/>
          <w:szCs w:val="24"/>
          <w:lang w:eastAsia="el-GR"/>
        </w:rPr>
      </w:pPr>
    </w:p>
    <w:p w14:paraId="63BBC760" w14:textId="77777777" w:rsidR="00ED02ED" w:rsidRDefault="00ED02ED" w:rsidP="00761263">
      <w:pPr>
        <w:spacing w:after="0" w:line="360" w:lineRule="auto"/>
        <w:jc w:val="both"/>
        <w:rPr>
          <w:rFonts w:ascii="Times New Roman" w:eastAsia="Times New Roman" w:hAnsi="Times New Roman" w:cs="Times New Roman"/>
          <w:b/>
          <w:color w:val="E36C0A"/>
          <w:sz w:val="24"/>
          <w:szCs w:val="24"/>
          <w:lang w:eastAsia="el-GR"/>
        </w:rPr>
      </w:pPr>
    </w:p>
    <w:p w14:paraId="21E429C3" w14:textId="4D66328E" w:rsidR="006D0D98" w:rsidRPr="00E36734" w:rsidRDefault="00A9257F" w:rsidP="00761263">
      <w:pPr>
        <w:spacing w:after="0" w:line="360" w:lineRule="auto"/>
        <w:jc w:val="both"/>
        <w:rPr>
          <w:rFonts w:ascii="Times New Roman" w:eastAsia="Times New Roman" w:hAnsi="Times New Roman" w:cs="Times New Roman"/>
          <w:b/>
          <w:color w:val="1F497D" w:themeColor="text2"/>
          <w:sz w:val="28"/>
          <w:szCs w:val="28"/>
          <w:u w:val="single"/>
          <w:lang w:eastAsia="el-GR"/>
        </w:rPr>
      </w:pPr>
      <w:r w:rsidRPr="00E36734">
        <w:rPr>
          <w:rFonts w:ascii="Times New Roman" w:eastAsia="Times New Roman" w:hAnsi="Times New Roman" w:cs="Times New Roman"/>
          <w:b/>
          <w:color w:val="1F497D" w:themeColor="text2"/>
          <w:sz w:val="28"/>
          <w:szCs w:val="28"/>
          <w:u w:val="single"/>
          <w:lang w:eastAsia="el-GR"/>
        </w:rPr>
        <w:lastRenderedPageBreak/>
        <w:t xml:space="preserve">ΑΝΑΛΥΤΙΚΗ ΠΑΡΟΥΣΙΑΣΗ - ΑΠΟΤΕΛΕΣΜΑΤΑ ΕΡΕΥΝΑΣ </w:t>
      </w:r>
    </w:p>
    <w:p w14:paraId="7D573BF4" w14:textId="29F36C32" w:rsidR="00A9257F" w:rsidRPr="00E36734" w:rsidRDefault="00A9257F" w:rsidP="00761263">
      <w:pPr>
        <w:pStyle w:val="a5"/>
        <w:numPr>
          <w:ilvl w:val="0"/>
          <w:numId w:val="1"/>
        </w:numPr>
        <w:spacing w:after="0" w:line="360" w:lineRule="auto"/>
        <w:jc w:val="both"/>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ΑΠΟΤΙΜΗΣΗ </w:t>
      </w:r>
      <w:r w:rsidR="00577A33">
        <w:rPr>
          <w:rFonts w:ascii="Times New Roman" w:eastAsia="Times New Roman" w:hAnsi="Times New Roman" w:cs="Times New Roman"/>
          <w:b/>
          <w:sz w:val="24"/>
          <w:szCs w:val="24"/>
          <w:lang w:val="en-US" w:eastAsia="el-GR"/>
        </w:rPr>
        <w:t>A</w:t>
      </w:r>
      <w:r w:rsidRPr="00E36734">
        <w:rPr>
          <w:rFonts w:ascii="Times New Roman" w:eastAsia="Times New Roman" w:hAnsi="Times New Roman" w:cs="Times New Roman"/>
          <w:b/>
          <w:sz w:val="24"/>
          <w:szCs w:val="24"/>
          <w:lang w:eastAsia="el-GR"/>
        </w:rPr>
        <w:t xml:space="preserve"> ΕΞΑΜΗΝΟΥ </w:t>
      </w:r>
      <w:r w:rsidRPr="00E36734">
        <w:rPr>
          <w:rFonts w:ascii="Times New Roman" w:eastAsia="Times New Roman" w:hAnsi="Times New Roman" w:cs="Times New Roman"/>
          <w:b/>
          <w:sz w:val="24"/>
          <w:szCs w:val="24"/>
          <w:lang w:val="en-US" w:eastAsia="el-GR"/>
        </w:rPr>
        <w:t>202</w:t>
      </w:r>
      <w:r w:rsidR="00577A33">
        <w:rPr>
          <w:rFonts w:ascii="Times New Roman" w:eastAsia="Times New Roman" w:hAnsi="Times New Roman" w:cs="Times New Roman"/>
          <w:b/>
          <w:sz w:val="24"/>
          <w:szCs w:val="24"/>
          <w:lang w:val="en-US" w:eastAsia="el-GR"/>
        </w:rPr>
        <w:t>1</w:t>
      </w:r>
    </w:p>
    <w:p w14:paraId="7EFE405D" w14:textId="416FF3BD" w:rsidR="00723F4A" w:rsidRDefault="00723F4A" w:rsidP="00F87B2B">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Μετά από ένα παρατεταμένο διάστημα εκτεταμένων περιορισμών στην οικονομική και κοινωνική δραστηριότητα</w:t>
      </w:r>
      <w:r w:rsidR="00820ED0">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που υιοθετήθηκαν για την αντιμετώπιση της </w:t>
      </w:r>
      <w:r w:rsidR="008D6D7E">
        <w:rPr>
          <w:rFonts w:ascii="Times New Roman" w:eastAsia="Times New Roman" w:hAnsi="Times New Roman" w:cs="Times New Roman"/>
          <w:bCs/>
          <w:sz w:val="24"/>
          <w:szCs w:val="24"/>
          <w:lang w:eastAsia="el-GR"/>
        </w:rPr>
        <w:t xml:space="preserve">πανδημίας </w:t>
      </w:r>
      <w:r w:rsidR="008D6D7E">
        <w:rPr>
          <w:rFonts w:ascii="Times New Roman" w:eastAsia="Times New Roman" w:hAnsi="Times New Roman" w:cs="Times New Roman"/>
          <w:bCs/>
          <w:sz w:val="24"/>
          <w:szCs w:val="24"/>
          <w:lang w:val="en-US" w:eastAsia="el-GR"/>
        </w:rPr>
        <w:t>Covid</w:t>
      </w:r>
      <w:r w:rsidR="008D6D7E" w:rsidRPr="008D6D7E">
        <w:rPr>
          <w:rFonts w:ascii="Times New Roman" w:eastAsia="Times New Roman" w:hAnsi="Times New Roman" w:cs="Times New Roman"/>
          <w:bCs/>
          <w:sz w:val="24"/>
          <w:szCs w:val="24"/>
          <w:lang w:eastAsia="el-GR"/>
        </w:rPr>
        <w:t>-19</w:t>
      </w:r>
      <w:r w:rsidR="00820ED0">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η κατάσταση όπως προκύπτει από τα ευρήματα της έρευνας βελτιώνεται. Είναι προφανές πως τα μέτρα στήριξης που ελήφθησαν για την στήριξη της οικονομίας έχουν συνεισφέρει για την αποφυγή των πιο δυσμενών συνεπειών της υγειονομικής κρίσης. </w:t>
      </w:r>
    </w:p>
    <w:p w14:paraId="208EF50D" w14:textId="7E62DE48" w:rsidR="00723F4A" w:rsidRDefault="00723F4A" w:rsidP="00F87B2B">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Ο δείκτης οικονομικού κλίματος των ΜΜΕ μετά την </w:t>
      </w:r>
      <w:r w:rsidR="008D6D7E">
        <w:rPr>
          <w:rFonts w:ascii="Times New Roman" w:eastAsia="Times New Roman" w:hAnsi="Times New Roman" w:cs="Times New Roman"/>
          <w:bCs/>
          <w:sz w:val="24"/>
          <w:szCs w:val="24"/>
          <w:lang w:eastAsia="el-GR"/>
        </w:rPr>
        <w:t>καθίζηση</w:t>
      </w:r>
      <w:r>
        <w:rPr>
          <w:rFonts w:ascii="Times New Roman" w:eastAsia="Times New Roman" w:hAnsi="Times New Roman" w:cs="Times New Roman"/>
          <w:bCs/>
          <w:sz w:val="24"/>
          <w:szCs w:val="24"/>
          <w:lang w:eastAsia="el-GR"/>
        </w:rPr>
        <w:t xml:space="preserve"> που κατέγραψε στην περσινή έρευνα (Ιούλιος 2020), όπου για το Α εξάμηνο του 2020 διολίσθησε </w:t>
      </w:r>
      <w:r w:rsidR="00F21DF6">
        <w:rPr>
          <w:rFonts w:ascii="Times New Roman" w:eastAsia="Times New Roman" w:hAnsi="Times New Roman" w:cs="Times New Roman"/>
          <w:bCs/>
          <w:sz w:val="24"/>
          <w:szCs w:val="24"/>
          <w:lang w:eastAsia="el-GR"/>
        </w:rPr>
        <w:t xml:space="preserve">από τις 60,4 </w:t>
      </w:r>
      <w:r>
        <w:rPr>
          <w:rFonts w:ascii="Times New Roman" w:eastAsia="Times New Roman" w:hAnsi="Times New Roman" w:cs="Times New Roman"/>
          <w:bCs/>
          <w:sz w:val="24"/>
          <w:szCs w:val="24"/>
          <w:lang w:eastAsia="el-GR"/>
        </w:rPr>
        <w:t xml:space="preserve">στις 20,1 μονάδες </w:t>
      </w:r>
      <w:r w:rsidR="00F21DF6">
        <w:rPr>
          <w:rFonts w:ascii="Times New Roman" w:eastAsia="Times New Roman" w:hAnsi="Times New Roman" w:cs="Times New Roman"/>
          <w:bCs/>
          <w:sz w:val="24"/>
          <w:szCs w:val="24"/>
          <w:lang w:eastAsia="el-GR"/>
        </w:rPr>
        <w:t>και για το Β</w:t>
      </w:r>
      <w:r w:rsidR="00FD16A4">
        <w:rPr>
          <w:rFonts w:ascii="Times New Roman" w:eastAsia="Times New Roman" w:hAnsi="Times New Roman" w:cs="Times New Roman"/>
          <w:bCs/>
          <w:sz w:val="24"/>
          <w:szCs w:val="24"/>
          <w:lang w:eastAsia="el-GR"/>
        </w:rPr>
        <w:t>’</w:t>
      </w:r>
      <w:r w:rsidR="00F21DF6">
        <w:rPr>
          <w:rFonts w:ascii="Times New Roman" w:eastAsia="Times New Roman" w:hAnsi="Times New Roman" w:cs="Times New Roman"/>
          <w:bCs/>
          <w:sz w:val="24"/>
          <w:szCs w:val="24"/>
          <w:lang w:eastAsia="el-GR"/>
        </w:rPr>
        <w:t xml:space="preserve"> εξάμηνο του 2020 διατηρήθηκε σε αυτό το εξαιρετικά χαμηλό επίπεδο, καταγράφει για το Α</w:t>
      </w:r>
      <w:r w:rsidR="00FD16A4">
        <w:rPr>
          <w:rFonts w:ascii="Times New Roman" w:eastAsia="Times New Roman" w:hAnsi="Times New Roman" w:cs="Times New Roman"/>
          <w:bCs/>
          <w:sz w:val="24"/>
          <w:szCs w:val="24"/>
          <w:lang w:eastAsia="el-GR"/>
        </w:rPr>
        <w:t>’</w:t>
      </w:r>
      <w:r w:rsidR="00F21DF6">
        <w:rPr>
          <w:rFonts w:ascii="Times New Roman" w:eastAsia="Times New Roman" w:hAnsi="Times New Roman" w:cs="Times New Roman"/>
          <w:bCs/>
          <w:sz w:val="24"/>
          <w:szCs w:val="24"/>
          <w:lang w:eastAsia="el-GR"/>
        </w:rPr>
        <w:t xml:space="preserve"> εξάμηνο του 202</w:t>
      </w:r>
      <w:r w:rsidR="008D6D7E">
        <w:rPr>
          <w:rFonts w:ascii="Times New Roman" w:eastAsia="Times New Roman" w:hAnsi="Times New Roman" w:cs="Times New Roman"/>
          <w:bCs/>
          <w:sz w:val="24"/>
          <w:szCs w:val="24"/>
          <w:lang w:eastAsia="el-GR"/>
        </w:rPr>
        <w:t>1</w:t>
      </w:r>
      <w:r w:rsidR="00F21DF6">
        <w:rPr>
          <w:rFonts w:ascii="Times New Roman" w:eastAsia="Times New Roman" w:hAnsi="Times New Roman" w:cs="Times New Roman"/>
          <w:bCs/>
          <w:sz w:val="24"/>
          <w:szCs w:val="24"/>
          <w:lang w:eastAsia="el-GR"/>
        </w:rPr>
        <w:t xml:space="preserve"> σημαντική άνοδο </w:t>
      </w:r>
      <w:r w:rsidR="008D6D7E">
        <w:rPr>
          <w:rFonts w:ascii="Times New Roman" w:eastAsia="Times New Roman" w:hAnsi="Times New Roman" w:cs="Times New Roman"/>
          <w:bCs/>
          <w:sz w:val="24"/>
          <w:szCs w:val="24"/>
          <w:lang w:eastAsia="el-GR"/>
        </w:rPr>
        <w:t>καθώς</w:t>
      </w:r>
      <w:r w:rsidR="00F21DF6">
        <w:rPr>
          <w:rFonts w:ascii="Times New Roman" w:eastAsia="Times New Roman" w:hAnsi="Times New Roman" w:cs="Times New Roman"/>
          <w:bCs/>
          <w:sz w:val="24"/>
          <w:szCs w:val="24"/>
          <w:lang w:eastAsia="el-GR"/>
        </w:rPr>
        <w:t xml:space="preserve"> διαμορφώνεται στις 46,3 μονάδες</w:t>
      </w:r>
      <w:r w:rsidR="0096518A">
        <w:rPr>
          <w:rFonts w:ascii="Times New Roman" w:eastAsia="Times New Roman" w:hAnsi="Times New Roman" w:cs="Times New Roman"/>
          <w:bCs/>
          <w:sz w:val="24"/>
          <w:szCs w:val="24"/>
          <w:lang w:eastAsia="el-GR"/>
        </w:rPr>
        <w:t xml:space="preserve"> (Γράφημα 1)</w:t>
      </w:r>
      <w:r w:rsidR="00F21DF6">
        <w:rPr>
          <w:rFonts w:ascii="Times New Roman" w:eastAsia="Times New Roman" w:hAnsi="Times New Roman" w:cs="Times New Roman"/>
          <w:bCs/>
          <w:sz w:val="24"/>
          <w:szCs w:val="24"/>
          <w:lang w:eastAsia="el-GR"/>
        </w:rPr>
        <w:t xml:space="preserve">. </w:t>
      </w:r>
    </w:p>
    <w:p w14:paraId="25F79743" w14:textId="5B77D8AF" w:rsidR="00F21DF6" w:rsidRDefault="00F21DF6" w:rsidP="00F87B2B">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Από τα ευρήματα της </w:t>
      </w:r>
      <w:r w:rsidR="008D6D7E">
        <w:rPr>
          <w:rFonts w:ascii="Times New Roman" w:eastAsia="Times New Roman" w:hAnsi="Times New Roman" w:cs="Times New Roman"/>
          <w:bCs/>
          <w:sz w:val="24"/>
          <w:szCs w:val="24"/>
          <w:lang w:eastAsia="el-GR"/>
        </w:rPr>
        <w:t>έρευνας</w:t>
      </w:r>
      <w:r>
        <w:rPr>
          <w:rFonts w:ascii="Times New Roman" w:eastAsia="Times New Roman" w:hAnsi="Times New Roman" w:cs="Times New Roman"/>
          <w:bCs/>
          <w:sz w:val="24"/>
          <w:szCs w:val="24"/>
          <w:lang w:eastAsia="el-GR"/>
        </w:rPr>
        <w:t xml:space="preserve"> φαίνεται πως με το σταδιακό άνοιγμα της αγοράς βελτιώνεται και η κατάσταση των μικρών και πολύ μικρών επιχειρήσεων. Ωστόσο η ανάκαμψη δεν είναι ισομερής. Οι επιχειρήσεις που το προηγούμενο διάστημα ανέστειλαν τη</w:t>
      </w:r>
      <w:r w:rsidR="0096518A">
        <w:rPr>
          <w:rFonts w:ascii="Times New Roman" w:eastAsia="Times New Roman" w:hAnsi="Times New Roman" w:cs="Times New Roman"/>
          <w:bCs/>
          <w:sz w:val="24"/>
          <w:szCs w:val="24"/>
          <w:lang w:eastAsia="el-GR"/>
        </w:rPr>
        <w:t xml:space="preserve"> λειτουργία τους με κρατική εντολή παραμένουν σε ιδιαίτερα δυσχερή θέση. Επιπλέον, σοβαρές δυσκολίες αντιμετωπίζουν και οι πολύ μικρές επιχειρήσεις, που είναι και </w:t>
      </w:r>
      <w:r w:rsidR="00F174AA">
        <w:rPr>
          <w:rFonts w:ascii="Times New Roman" w:eastAsia="Times New Roman" w:hAnsi="Times New Roman" w:cs="Times New Roman"/>
          <w:bCs/>
          <w:sz w:val="24"/>
          <w:szCs w:val="24"/>
          <w:lang w:eastAsia="el-GR"/>
        </w:rPr>
        <w:t>η συντριπτικά</w:t>
      </w:r>
      <w:r w:rsidR="0096518A">
        <w:rPr>
          <w:rFonts w:ascii="Times New Roman" w:eastAsia="Times New Roman" w:hAnsi="Times New Roman" w:cs="Times New Roman"/>
          <w:bCs/>
          <w:sz w:val="24"/>
          <w:szCs w:val="24"/>
          <w:lang w:eastAsia="el-GR"/>
        </w:rPr>
        <w:t xml:space="preserve"> περισσότερες. Για τις επιχειρήσεις αυτές</w:t>
      </w:r>
      <w:r w:rsidR="00FD16A4">
        <w:rPr>
          <w:rFonts w:ascii="Times New Roman" w:eastAsia="Times New Roman" w:hAnsi="Times New Roman" w:cs="Times New Roman"/>
          <w:bCs/>
          <w:sz w:val="24"/>
          <w:szCs w:val="24"/>
          <w:lang w:eastAsia="el-GR"/>
        </w:rPr>
        <w:t xml:space="preserve">, </w:t>
      </w:r>
      <w:r w:rsidR="0096518A">
        <w:rPr>
          <w:rFonts w:ascii="Times New Roman" w:eastAsia="Times New Roman" w:hAnsi="Times New Roman" w:cs="Times New Roman"/>
          <w:bCs/>
          <w:sz w:val="24"/>
          <w:szCs w:val="24"/>
          <w:lang w:eastAsia="el-GR"/>
        </w:rPr>
        <w:t xml:space="preserve">τα σοβαρά προβλήματα ρευστότητας παραμένουν, καθώς και η δυνατότητα τους να ανταποκριθούν στις υποχρεώσεις τους και να ξεφύγουν από τον φαύλο κύκλο της υπερχρέωσης. </w:t>
      </w:r>
    </w:p>
    <w:p w14:paraId="4AADCDD1" w14:textId="1211D942" w:rsidR="006C3DAB" w:rsidRPr="00E36734" w:rsidRDefault="006C3DAB" w:rsidP="00761263">
      <w:pPr>
        <w:spacing w:after="0" w:line="360" w:lineRule="auto"/>
        <w:jc w:val="both"/>
        <w:rPr>
          <w:rFonts w:ascii="Times New Roman" w:eastAsia="Times New Roman" w:hAnsi="Times New Roman" w:cs="Times New Roman"/>
          <w:color w:val="222222"/>
          <w:sz w:val="24"/>
          <w:szCs w:val="24"/>
          <w:lang w:eastAsia="el-GR"/>
        </w:rPr>
      </w:pPr>
    </w:p>
    <w:p w14:paraId="074C28FE" w14:textId="730A0DE6" w:rsidR="00A9799A" w:rsidRPr="00E36734" w:rsidRDefault="00A9799A" w:rsidP="00761263">
      <w:pPr>
        <w:spacing w:after="0" w:line="360" w:lineRule="auto"/>
        <w:jc w:val="both"/>
        <w:rPr>
          <w:rFonts w:ascii="Times New Roman" w:eastAsia="Times New Roman" w:hAnsi="Times New Roman" w:cs="Times New Roman"/>
          <w:color w:val="222222"/>
          <w:sz w:val="24"/>
          <w:szCs w:val="24"/>
          <w:lang w:eastAsia="el-GR"/>
        </w:rPr>
      </w:pPr>
      <w:r w:rsidRPr="00E36734">
        <w:rPr>
          <w:noProof/>
          <w:lang w:val="en-US"/>
        </w:rPr>
        <w:drawing>
          <wp:inline distT="0" distB="0" distL="0" distR="0" wp14:anchorId="63C41508" wp14:editId="597E4905">
            <wp:extent cx="6499860" cy="3368040"/>
            <wp:effectExtent l="0" t="0" r="15240" b="3810"/>
            <wp:docPr id="13" name="Γράφημα 13">
              <a:extLst xmlns:a="http://schemas.openxmlformats.org/drawingml/2006/main">
                <a:ext uri="{FF2B5EF4-FFF2-40B4-BE49-F238E27FC236}">
                  <a16:creationId xmlns:a16="http://schemas.microsoft.com/office/drawing/2014/main" id="{931C5885-E001-4CE1-AC5C-53371FAF6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7BEFC7" w14:textId="56F29A17" w:rsidR="00906C6F" w:rsidRPr="00E36734" w:rsidRDefault="00A9257F" w:rsidP="00761263">
      <w:pPr>
        <w:spacing w:after="0" w:line="360" w:lineRule="auto"/>
        <w:jc w:val="both"/>
        <w:rPr>
          <w:rFonts w:ascii="Times New Roman" w:eastAsia="Times New Roman" w:hAnsi="Times New Roman" w:cs="Times New Roman"/>
          <w:color w:val="222222"/>
          <w:sz w:val="24"/>
          <w:szCs w:val="24"/>
          <w:lang w:eastAsia="el-GR"/>
        </w:rPr>
      </w:pPr>
      <w:r w:rsidRPr="001B2EF9">
        <w:rPr>
          <w:rFonts w:ascii="Times New Roman" w:eastAsia="Times New Roman" w:hAnsi="Times New Roman" w:cs="Times New Roman"/>
          <w:color w:val="222222"/>
          <w:sz w:val="24"/>
          <w:szCs w:val="24"/>
          <w:lang w:eastAsia="el-GR"/>
        </w:rPr>
        <w:lastRenderedPageBreak/>
        <w:t>Ειδικότ</w:t>
      </w:r>
      <w:r w:rsidR="004743E2" w:rsidRPr="001B2EF9">
        <w:rPr>
          <w:rFonts w:ascii="Times New Roman" w:eastAsia="Times New Roman" w:hAnsi="Times New Roman" w:cs="Times New Roman"/>
          <w:color w:val="222222"/>
          <w:sz w:val="24"/>
          <w:szCs w:val="24"/>
          <w:lang w:eastAsia="el-GR"/>
        </w:rPr>
        <w:t>ερα</w:t>
      </w:r>
      <w:r w:rsidR="009048DD" w:rsidRPr="001B2EF9">
        <w:rPr>
          <w:rFonts w:ascii="Times New Roman" w:eastAsia="Times New Roman" w:hAnsi="Times New Roman" w:cs="Times New Roman"/>
          <w:color w:val="222222"/>
          <w:sz w:val="24"/>
          <w:szCs w:val="24"/>
          <w:lang w:eastAsia="el-GR"/>
        </w:rPr>
        <w:t xml:space="preserve"> για το </w:t>
      </w:r>
      <w:r w:rsidR="001B2EF9" w:rsidRPr="001B2EF9">
        <w:rPr>
          <w:rFonts w:ascii="Times New Roman" w:eastAsia="Times New Roman" w:hAnsi="Times New Roman" w:cs="Times New Roman"/>
          <w:color w:val="222222"/>
          <w:sz w:val="24"/>
          <w:szCs w:val="24"/>
          <w:lang w:eastAsia="el-GR"/>
        </w:rPr>
        <w:t>Α</w:t>
      </w:r>
      <w:r w:rsidR="00FD16A4">
        <w:rPr>
          <w:rFonts w:ascii="Times New Roman" w:eastAsia="Times New Roman" w:hAnsi="Times New Roman" w:cs="Times New Roman"/>
          <w:color w:val="222222"/>
          <w:sz w:val="24"/>
          <w:szCs w:val="24"/>
          <w:lang w:eastAsia="el-GR"/>
        </w:rPr>
        <w:t>’</w:t>
      </w:r>
      <w:r w:rsidR="009048DD" w:rsidRPr="001B2EF9">
        <w:rPr>
          <w:rFonts w:ascii="Times New Roman" w:eastAsia="Times New Roman" w:hAnsi="Times New Roman" w:cs="Times New Roman"/>
          <w:color w:val="222222"/>
          <w:sz w:val="24"/>
          <w:szCs w:val="24"/>
          <w:lang w:eastAsia="el-GR"/>
        </w:rPr>
        <w:t xml:space="preserve"> εξάμηνο του 202</w:t>
      </w:r>
      <w:r w:rsidR="001B2EF9" w:rsidRPr="001B2EF9">
        <w:rPr>
          <w:rFonts w:ascii="Times New Roman" w:eastAsia="Times New Roman" w:hAnsi="Times New Roman" w:cs="Times New Roman"/>
          <w:color w:val="222222"/>
          <w:sz w:val="24"/>
          <w:szCs w:val="24"/>
          <w:lang w:eastAsia="el-GR"/>
        </w:rPr>
        <w:t>1</w:t>
      </w:r>
      <w:r w:rsidR="001D2F4E" w:rsidRPr="001B2EF9">
        <w:rPr>
          <w:rFonts w:ascii="Times New Roman" w:eastAsia="Times New Roman" w:hAnsi="Times New Roman" w:cs="Times New Roman"/>
          <w:color w:val="222222"/>
          <w:sz w:val="24"/>
          <w:szCs w:val="24"/>
          <w:lang w:eastAsia="el-GR"/>
        </w:rPr>
        <w:t>,</w:t>
      </w:r>
      <w:r w:rsidR="004743E2" w:rsidRPr="001B2EF9">
        <w:rPr>
          <w:rFonts w:ascii="Times New Roman" w:eastAsia="Times New Roman" w:hAnsi="Times New Roman" w:cs="Times New Roman"/>
          <w:color w:val="222222"/>
          <w:sz w:val="24"/>
          <w:szCs w:val="24"/>
          <w:lang w:eastAsia="el-GR"/>
        </w:rPr>
        <w:t xml:space="preserve"> </w:t>
      </w:r>
      <w:bookmarkStart w:id="1" w:name="_Hlk68074810"/>
      <w:r w:rsidR="001B2EF9" w:rsidRPr="001B2EF9">
        <w:rPr>
          <w:rFonts w:ascii="Times New Roman" w:eastAsia="Times New Roman" w:hAnsi="Times New Roman" w:cs="Times New Roman"/>
          <w:color w:val="222222"/>
          <w:sz w:val="24"/>
          <w:szCs w:val="24"/>
          <w:lang w:eastAsia="el-GR"/>
        </w:rPr>
        <w:t>περίπου 5</w:t>
      </w:r>
      <w:r w:rsidR="004743E2" w:rsidRPr="001B2EF9">
        <w:rPr>
          <w:rFonts w:ascii="Times New Roman" w:eastAsia="Times New Roman" w:hAnsi="Times New Roman" w:cs="Times New Roman"/>
          <w:color w:val="222222"/>
          <w:sz w:val="24"/>
          <w:szCs w:val="24"/>
          <w:lang w:eastAsia="el-GR"/>
        </w:rPr>
        <w:t xml:space="preserve"> στις 10 επιχειρήσεις (</w:t>
      </w:r>
      <w:r w:rsidR="001B2EF9" w:rsidRPr="001B2EF9">
        <w:rPr>
          <w:rFonts w:ascii="Times New Roman" w:eastAsia="Times New Roman" w:hAnsi="Times New Roman" w:cs="Times New Roman"/>
          <w:color w:val="222222"/>
          <w:sz w:val="24"/>
          <w:szCs w:val="24"/>
          <w:lang w:eastAsia="el-GR"/>
        </w:rPr>
        <w:t>53,4</w:t>
      </w:r>
      <w:r w:rsidRPr="001B2EF9">
        <w:rPr>
          <w:rFonts w:ascii="Times New Roman" w:eastAsia="Times New Roman" w:hAnsi="Times New Roman" w:cs="Times New Roman"/>
          <w:color w:val="222222"/>
          <w:sz w:val="24"/>
          <w:szCs w:val="24"/>
          <w:lang w:eastAsia="el-GR"/>
        </w:rPr>
        <w:t>%) δήλωσαν πως η οικονομική κατάσταση τους επιδεινώθηκε</w:t>
      </w:r>
      <w:r w:rsidR="00307DCA" w:rsidRPr="001B2EF9">
        <w:rPr>
          <w:rFonts w:ascii="Times New Roman" w:eastAsia="Times New Roman" w:hAnsi="Times New Roman" w:cs="Times New Roman"/>
          <w:color w:val="222222"/>
          <w:sz w:val="24"/>
          <w:szCs w:val="24"/>
          <w:lang w:eastAsia="el-GR"/>
        </w:rPr>
        <w:t>,</w:t>
      </w:r>
      <w:r w:rsidRPr="001B2EF9">
        <w:rPr>
          <w:rFonts w:ascii="Times New Roman" w:eastAsia="Times New Roman" w:hAnsi="Times New Roman" w:cs="Times New Roman"/>
          <w:color w:val="222222"/>
          <w:sz w:val="24"/>
          <w:szCs w:val="24"/>
          <w:lang w:eastAsia="el-GR"/>
        </w:rPr>
        <w:t xml:space="preserve"> έναντι </w:t>
      </w:r>
      <w:r w:rsidR="001B2EF9" w:rsidRPr="001B2EF9">
        <w:rPr>
          <w:rFonts w:ascii="Times New Roman" w:eastAsia="Times New Roman" w:hAnsi="Times New Roman" w:cs="Times New Roman"/>
          <w:color w:val="222222"/>
          <w:sz w:val="24"/>
          <w:szCs w:val="24"/>
          <w:lang w:eastAsia="el-GR"/>
        </w:rPr>
        <w:t>του</w:t>
      </w:r>
      <w:r w:rsidR="004743E2" w:rsidRPr="001B2EF9">
        <w:rPr>
          <w:rFonts w:ascii="Times New Roman" w:eastAsia="Times New Roman" w:hAnsi="Times New Roman" w:cs="Times New Roman"/>
          <w:color w:val="222222"/>
          <w:sz w:val="24"/>
          <w:szCs w:val="24"/>
          <w:lang w:eastAsia="el-GR"/>
        </w:rPr>
        <w:t xml:space="preserve"> </w:t>
      </w:r>
      <w:r w:rsidR="001B2EF9" w:rsidRPr="001B2EF9">
        <w:rPr>
          <w:rFonts w:ascii="Times New Roman" w:eastAsia="Times New Roman" w:hAnsi="Times New Roman" w:cs="Times New Roman"/>
          <w:color w:val="222222"/>
          <w:sz w:val="24"/>
          <w:szCs w:val="24"/>
          <w:lang w:eastAsia="el-GR"/>
        </w:rPr>
        <w:t>20,1</w:t>
      </w:r>
      <w:r w:rsidRPr="001B2EF9">
        <w:rPr>
          <w:rFonts w:ascii="Times New Roman" w:eastAsia="Times New Roman" w:hAnsi="Times New Roman" w:cs="Times New Roman"/>
          <w:color w:val="222222"/>
          <w:sz w:val="24"/>
          <w:szCs w:val="24"/>
          <w:lang w:eastAsia="el-GR"/>
        </w:rPr>
        <w:t>% πο</w:t>
      </w:r>
      <w:r w:rsidR="004743E2" w:rsidRPr="001B2EF9">
        <w:rPr>
          <w:rFonts w:ascii="Times New Roman" w:eastAsia="Times New Roman" w:hAnsi="Times New Roman" w:cs="Times New Roman"/>
          <w:color w:val="222222"/>
          <w:sz w:val="24"/>
          <w:szCs w:val="24"/>
          <w:lang w:eastAsia="el-GR"/>
        </w:rPr>
        <w:t>υ δήλωσε ότι βελτιώθηκε και</w:t>
      </w:r>
      <w:r w:rsidR="001B2EF9" w:rsidRPr="001B2EF9">
        <w:rPr>
          <w:rFonts w:ascii="Times New Roman" w:eastAsia="Times New Roman" w:hAnsi="Times New Roman" w:cs="Times New Roman"/>
          <w:color w:val="222222"/>
          <w:sz w:val="24"/>
          <w:szCs w:val="24"/>
          <w:lang w:eastAsia="el-GR"/>
        </w:rPr>
        <w:t xml:space="preserve"> του</w:t>
      </w:r>
      <w:r w:rsidR="004743E2" w:rsidRPr="001B2EF9">
        <w:rPr>
          <w:rFonts w:ascii="Times New Roman" w:eastAsia="Times New Roman" w:hAnsi="Times New Roman" w:cs="Times New Roman"/>
          <w:color w:val="222222"/>
          <w:sz w:val="24"/>
          <w:szCs w:val="24"/>
          <w:lang w:eastAsia="el-GR"/>
        </w:rPr>
        <w:t xml:space="preserve"> </w:t>
      </w:r>
      <w:r w:rsidR="001B2EF9" w:rsidRPr="001B2EF9">
        <w:rPr>
          <w:rFonts w:ascii="Times New Roman" w:eastAsia="Times New Roman" w:hAnsi="Times New Roman" w:cs="Times New Roman"/>
          <w:color w:val="222222"/>
          <w:sz w:val="24"/>
          <w:szCs w:val="24"/>
          <w:lang w:eastAsia="el-GR"/>
        </w:rPr>
        <w:t>2</w:t>
      </w:r>
      <w:r w:rsidR="004743E2" w:rsidRPr="001B2EF9">
        <w:rPr>
          <w:rFonts w:ascii="Times New Roman" w:eastAsia="Times New Roman" w:hAnsi="Times New Roman" w:cs="Times New Roman"/>
          <w:color w:val="222222"/>
          <w:sz w:val="24"/>
          <w:szCs w:val="24"/>
          <w:lang w:eastAsia="el-GR"/>
        </w:rPr>
        <w:t>5,9</w:t>
      </w:r>
      <w:r w:rsidRPr="001B2EF9">
        <w:rPr>
          <w:rFonts w:ascii="Times New Roman" w:eastAsia="Times New Roman" w:hAnsi="Times New Roman" w:cs="Times New Roman"/>
          <w:color w:val="222222"/>
          <w:sz w:val="24"/>
          <w:szCs w:val="24"/>
          <w:lang w:eastAsia="el-GR"/>
        </w:rPr>
        <w:t>% που δήλωσε πως παρέμεινε αμετάβλητη</w:t>
      </w:r>
      <w:bookmarkEnd w:id="1"/>
      <w:r w:rsidRPr="001B2EF9">
        <w:rPr>
          <w:rFonts w:ascii="Times New Roman" w:eastAsia="Times New Roman" w:hAnsi="Times New Roman" w:cs="Times New Roman"/>
          <w:color w:val="222222"/>
          <w:sz w:val="24"/>
          <w:szCs w:val="24"/>
          <w:lang w:eastAsia="el-GR"/>
        </w:rPr>
        <w:t xml:space="preserve"> (Γράφημα 2).</w:t>
      </w:r>
    </w:p>
    <w:p w14:paraId="561DA84D" w14:textId="77777777" w:rsidR="00004C66" w:rsidRPr="00E36734" w:rsidRDefault="00A9257F" w:rsidP="00004C66">
      <w:pPr>
        <w:spacing w:after="0" w:line="360" w:lineRule="auto"/>
        <w:ind w:firstLine="360"/>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Γράφημα </w:t>
      </w:r>
      <w:r w:rsidR="00761263" w:rsidRPr="00E36734">
        <w:rPr>
          <w:rFonts w:ascii="Times New Roman" w:eastAsia="Times New Roman" w:hAnsi="Times New Roman" w:cs="Times New Roman"/>
          <w:b/>
          <w:sz w:val="24"/>
          <w:szCs w:val="24"/>
          <w:lang w:eastAsia="el-GR"/>
        </w:rPr>
        <w:t>2</w:t>
      </w:r>
    </w:p>
    <w:p w14:paraId="1ECAE881" w14:textId="1FC08B7E" w:rsidR="00A9257F" w:rsidRDefault="00004C66" w:rsidP="00004C66">
      <w:pPr>
        <w:spacing w:after="0" w:line="360" w:lineRule="auto"/>
        <w:ind w:firstLine="360"/>
        <w:jc w:val="center"/>
        <w:rPr>
          <w:rFonts w:ascii="Times New Roman" w:hAnsi="Times New Roman" w:cs="Times New Roman"/>
          <w:b/>
          <w:noProof/>
          <w:sz w:val="24"/>
          <w:szCs w:val="24"/>
          <w:u w:val="single"/>
          <w:lang w:eastAsia="el-GR"/>
        </w:rPr>
      </w:pPr>
      <w:r w:rsidRPr="00E36734">
        <w:rPr>
          <w:rFonts w:ascii="Times New Roman" w:eastAsia="Times New Roman" w:hAnsi="Times New Roman" w:cs="Times New Roman"/>
          <w:b/>
          <w:sz w:val="24"/>
          <w:szCs w:val="24"/>
          <w:lang w:eastAsia="el-GR"/>
        </w:rPr>
        <w:t>Θεωρείτε ότι η οικονομική κατάσταση της επιχείρησής σας κατά το τελευταίο εξάμηνο:</w:t>
      </w:r>
    </w:p>
    <w:p w14:paraId="126CAEBC" w14:textId="0D7AE963" w:rsidR="007568CA" w:rsidRPr="00E36734" w:rsidRDefault="007568CA" w:rsidP="00004C66">
      <w:pPr>
        <w:spacing w:after="0" w:line="360" w:lineRule="auto"/>
        <w:ind w:firstLine="360"/>
        <w:jc w:val="center"/>
        <w:rPr>
          <w:rFonts w:ascii="Times New Roman" w:eastAsia="Times New Roman" w:hAnsi="Times New Roman" w:cs="Times New Roman"/>
          <w:b/>
          <w:sz w:val="24"/>
          <w:szCs w:val="24"/>
          <w:lang w:eastAsia="el-GR"/>
        </w:rPr>
      </w:pPr>
      <w:r w:rsidRPr="007568CA">
        <w:rPr>
          <w:rFonts w:ascii="Times New Roman" w:eastAsia="Times New Roman" w:hAnsi="Times New Roman" w:cs="Times New Roman"/>
          <w:b/>
          <w:noProof/>
          <w:sz w:val="24"/>
          <w:szCs w:val="24"/>
          <w:lang w:val="en-US"/>
        </w:rPr>
        <w:drawing>
          <wp:inline distT="0" distB="0" distL="0" distR="0" wp14:anchorId="3F5828E5" wp14:editId="49C90111">
            <wp:extent cx="6264275" cy="2712720"/>
            <wp:effectExtent l="0" t="0" r="3175" b="11430"/>
            <wp:docPr id="34" name="Γράφημα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5633E2" w14:textId="2F112E75" w:rsidR="009048DD" w:rsidRPr="00E36734" w:rsidRDefault="009048DD" w:rsidP="00761263">
      <w:pPr>
        <w:spacing w:after="0" w:line="360" w:lineRule="auto"/>
        <w:jc w:val="both"/>
        <w:rPr>
          <w:rFonts w:ascii="Times New Roman" w:hAnsi="Times New Roman" w:cs="Times New Roman"/>
          <w:b/>
          <w:sz w:val="24"/>
          <w:szCs w:val="24"/>
          <w:u w:val="single"/>
        </w:rPr>
      </w:pPr>
    </w:p>
    <w:p w14:paraId="12E8A441" w14:textId="38B4130D" w:rsidR="00AA2C38" w:rsidRPr="00A16875" w:rsidRDefault="009048DD" w:rsidP="00AA2C38">
      <w:pPr>
        <w:spacing w:after="0" w:line="360" w:lineRule="auto"/>
        <w:jc w:val="both"/>
        <w:rPr>
          <w:rFonts w:ascii="Times New Roman" w:hAnsi="Times New Roman" w:cs="Times New Roman"/>
          <w:bCs/>
          <w:sz w:val="24"/>
          <w:szCs w:val="24"/>
        </w:rPr>
      </w:pPr>
      <w:r w:rsidRPr="00A16875">
        <w:rPr>
          <w:rFonts w:ascii="Times New Roman" w:hAnsi="Times New Roman" w:cs="Times New Roman"/>
          <w:bCs/>
          <w:sz w:val="24"/>
          <w:szCs w:val="24"/>
        </w:rPr>
        <w:t xml:space="preserve">Σε </w:t>
      </w:r>
      <w:r w:rsidR="00032562" w:rsidRPr="00A16875">
        <w:rPr>
          <w:rFonts w:ascii="Times New Roman" w:hAnsi="Times New Roman" w:cs="Times New Roman"/>
          <w:bCs/>
          <w:sz w:val="24"/>
          <w:szCs w:val="24"/>
        </w:rPr>
        <w:t>δυσμενέστερη</w:t>
      </w:r>
      <w:r w:rsidRPr="00A16875">
        <w:rPr>
          <w:rFonts w:ascii="Times New Roman" w:hAnsi="Times New Roman" w:cs="Times New Roman"/>
          <w:bCs/>
          <w:sz w:val="24"/>
          <w:szCs w:val="24"/>
        </w:rPr>
        <w:t xml:space="preserve"> θέση φαίνεται πως βρίσκονται οι επιχειρήσεις </w:t>
      </w:r>
      <w:r w:rsidR="0096518A" w:rsidRPr="00A16875">
        <w:rPr>
          <w:rFonts w:ascii="Times New Roman" w:hAnsi="Times New Roman" w:cs="Times New Roman"/>
          <w:bCs/>
          <w:sz w:val="24"/>
          <w:szCs w:val="24"/>
        </w:rPr>
        <w:t>χωρίς προσωπικό και οι μικρότερες με βάση τον τζίρο επιχειρήσεις (έως 50.000), καθώς το 65</w:t>
      </w:r>
      <w:r w:rsidRPr="00A16875">
        <w:rPr>
          <w:rFonts w:ascii="Times New Roman" w:hAnsi="Times New Roman" w:cs="Times New Roman"/>
          <w:bCs/>
          <w:sz w:val="24"/>
          <w:szCs w:val="24"/>
        </w:rPr>
        <w:t>%</w:t>
      </w:r>
      <w:r w:rsidR="0096518A" w:rsidRPr="00A16875">
        <w:rPr>
          <w:rFonts w:ascii="Times New Roman" w:hAnsi="Times New Roman" w:cs="Times New Roman"/>
          <w:bCs/>
          <w:sz w:val="24"/>
          <w:szCs w:val="24"/>
        </w:rPr>
        <w:t xml:space="preserve"> και το 63,9% αντίστοιχα δήλωσε πως επιδεινώθηκε η οικονομική κατάσταση</w:t>
      </w:r>
      <w:r w:rsidR="00A16875" w:rsidRPr="00A16875">
        <w:rPr>
          <w:rFonts w:ascii="Times New Roman" w:hAnsi="Times New Roman" w:cs="Times New Roman"/>
          <w:bCs/>
          <w:sz w:val="24"/>
          <w:szCs w:val="24"/>
        </w:rPr>
        <w:t xml:space="preserve"> το Α εξάμηνο του 2021. </w:t>
      </w:r>
      <w:r w:rsidR="00AA2C38" w:rsidRPr="00A16875">
        <w:rPr>
          <w:rFonts w:ascii="Times New Roman" w:hAnsi="Times New Roman" w:cs="Times New Roman"/>
          <w:bCs/>
          <w:sz w:val="24"/>
          <w:szCs w:val="24"/>
        </w:rPr>
        <w:t xml:space="preserve">Από την άλλη μεριά, </w:t>
      </w:r>
      <w:r w:rsidR="00A16875" w:rsidRPr="00A16875">
        <w:rPr>
          <w:rFonts w:ascii="Times New Roman" w:hAnsi="Times New Roman" w:cs="Times New Roman"/>
          <w:bCs/>
          <w:sz w:val="24"/>
          <w:szCs w:val="24"/>
        </w:rPr>
        <w:t xml:space="preserve">πολύ </w:t>
      </w:r>
      <w:r w:rsidR="00AA2C38" w:rsidRPr="00A16875">
        <w:rPr>
          <w:rFonts w:ascii="Times New Roman" w:hAnsi="Times New Roman" w:cs="Times New Roman"/>
          <w:bCs/>
          <w:sz w:val="24"/>
          <w:szCs w:val="24"/>
        </w:rPr>
        <w:t>καλύτερα είναι τα ευρήματα για τις μεγαλύτερες με βάση τον κύκλο εργασιών και τον αριθμό εργαζομένων επιχειρήσεις</w:t>
      </w:r>
      <w:r w:rsidR="00483ED8" w:rsidRPr="00A16875">
        <w:rPr>
          <w:rFonts w:ascii="Times New Roman" w:hAnsi="Times New Roman" w:cs="Times New Roman"/>
          <w:bCs/>
          <w:sz w:val="24"/>
          <w:szCs w:val="24"/>
        </w:rPr>
        <w:t>,</w:t>
      </w:r>
      <w:r w:rsidR="00AA2C38" w:rsidRPr="00A16875">
        <w:rPr>
          <w:rFonts w:ascii="Times New Roman" w:hAnsi="Times New Roman" w:cs="Times New Roman"/>
          <w:bCs/>
          <w:sz w:val="24"/>
          <w:szCs w:val="24"/>
        </w:rPr>
        <w:t xml:space="preserve"> καθώς τ</w:t>
      </w:r>
      <w:r w:rsidR="00A16875" w:rsidRPr="00A16875">
        <w:rPr>
          <w:rFonts w:ascii="Times New Roman" w:hAnsi="Times New Roman" w:cs="Times New Roman"/>
          <w:bCs/>
          <w:sz w:val="24"/>
          <w:szCs w:val="24"/>
        </w:rPr>
        <w:t>ο 36,3% και το 30,5%</w:t>
      </w:r>
      <w:r w:rsidR="00AA2C38" w:rsidRPr="00A16875">
        <w:rPr>
          <w:rFonts w:ascii="Times New Roman" w:hAnsi="Times New Roman" w:cs="Times New Roman"/>
          <w:bCs/>
          <w:sz w:val="24"/>
          <w:szCs w:val="24"/>
        </w:rPr>
        <w:t xml:space="preserve"> </w:t>
      </w:r>
      <w:r w:rsidR="00A16875" w:rsidRPr="00A16875">
        <w:rPr>
          <w:rFonts w:ascii="Times New Roman" w:hAnsi="Times New Roman" w:cs="Times New Roman"/>
          <w:bCs/>
          <w:sz w:val="24"/>
          <w:szCs w:val="24"/>
        </w:rPr>
        <w:t>αντίστοιχα δήλωσ</w:t>
      </w:r>
      <w:r w:rsidR="00A16875">
        <w:rPr>
          <w:rFonts w:ascii="Times New Roman" w:hAnsi="Times New Roman" w:cs="Times New Roman"/>
          <w:bCs/>
          <w:sz w:val="24"/>
          <w:szCs w:val="24"/>
        </w:rPr>
        <w:t>ε</w:t>
      </w:r>
      <w:r w:rsidR="00A16875" w:rsidRPr="00A16875">
        <w:rPr>
          <w:rFonts w:ascii="Times New Roman" w:hAnsi="Times New Roman" w:cs="Times New Roman"/>
          <w:bCs/>
          <w:sz w:val="24"/>
          <w:szCs w:val="24"/>
        </w:rPr>
        <w:t xml:space="preserve"> πως βελτιώθηκε η οικονομική του κατάσταση το Α εξάμηνο του 2021 </w:t>
      </w:r>
      <w:r w:rsidR="00AA2C38" w:rsidRPr="00A16875">
        <w:rPr>
          <w:rFonts w:ascii="Times New Roman" w:hAnsi="Times New Roman" w:cs="Times New Roman"/>
          <w:bCs/>
          <w:sz w:val="24"/>
          <w:szCs w:val="24"/>
        </w:rPr>
        <w:t xml:space="preserve">(Γράφημα 3). </w:t>
      </w:r>
      <w:r w:rsidR="00A16875">
        <w:rPr>
          <w:rFonts w:ascii="Times New Roman" w:hAnsi="Times New Roman" w:cs="Times New Roman"/>
          <w:bCs/>
          <w:sz w:val="24"/>
          <w:szCs w:val="24"/>
        </w:rPr>
        <w:t>Γεωγραφικά</w:t>
      </w:r>
      <w:r w:rsidR="0026638B">
        <w:rPr>
          <w:rFonts w:ascii="Times New Roman" w:hAnsi="Times New Roman" w:cs="Times New Roman"/>
          <w:bCs/>
          <w:sz w:val="24"/>
          <w:szCs w:val="24"/>
        </w:rPr>
        <w:t>,</w:t>
      </w:r>
      <w:r w:rsidR="00A16875">
        <w:rPr>
          <w:rFonts w:ascii="Times New Roman" w:hAnsi="Times New Roman" w:cs="Times New Roman"/>
          <w:bCs/>
          <w:sz w:val="24"/>
          <w:szCs w:val="24"/>
        </w:rPr>
        <w:t xml:space="preserve"> οι επιχειρήσεις που δραστηριοποιούνται στην Αττική παρουσιάζουν τις χειρότερες επιδόσεις (</w:t>
      </w:r>
      <w:r w:rsidR="00E12C00">
        <w:rPr>
          <w:rFonts w:ascii="Times New Roman" w:hAnsi="Times New Roman" w:cs="Times New Roman"/>
          <w:bCs/>
          <w:sz w:val="24"/>
          <w:szCs w:val="24"/>
        </w:rPr>
        <w:t xml:space="preserve">16,2% δήλωσε πως η οικονομική του κατάσταση βελτιώθηκε, 53,7% πως επιδεινώθηκε και 29,7% πως παρέμεινε αμετάβλητη) κάτι που πιθανόν να οφείλεται στο παρατεταμένο </w:t>
      </w:r>
      <w:r w:rsidR="00E12C00">
        <w:rPr>
          <w:rFonts w:ascii="Times New Roman" w:hAnsi="Times New Roman" w:cs="Times New Roman"/>
          <w:bCs/>
          <w:sz w:val="24"/>
          <w:szCs w:val="24"/>
          <w:lang w:val="en-US"/>
        </w:rPr>
        <w:t>lockdown</w:t>
      </w:r>
      <w:r w:rsidR="00E12C00">
        <w:rPr>
          <w:rFonts w:ascii="Times New Roman" w:hAnsi="Times New Roman" w:cs="Times New Roman"/>
          <w:bCs/>
          <w:sz w:val="24"/>
          <w:szCs w:val="24"/>
        </w:rPr>
        <w:t xml:space="preserve"> που υιοθετήθηκε λόγω του αυξημένου επιδημιολογικού φορτίου που καταγράφηκε στην Περιφέρεια Αττικής το Α</w:t>
      </w:r>
      <w:r w:rsidR="00EE72E7">
        <w:rPr>
          <w:rFonts w:ascii="Times New Roman" w:hAnsi="Times New Roman" w:cs="Times New Roman"/>
          <w:bCs/>
          <w:sz w:val="24"/>
          <w:szCs w:val="24"/>
        </w:rPr>
        <w:t>’</w:t>
      </w:r>
      <w:r w:rsidR="00E12C00">
        <w:rPr>
          <w:rFonts w:ascii="Times New Roman" w:hAnsi="Times New Roman" w:cs="Times New Roman"/>
          <w:bCs/>
          <w:sz w:val="24"/>
          <w:szCs w:val="24"/>
        </w:rPr>
        <w:t xml:space="preserve"> εξάμηνο του 2021. </w:t>
      </w:r>
    </w:p>
    <w:p w14:paraId="4F9A85EB" w14:textId="77777777" w:rsidR="00E47175" w:rsidRDefault="00E47175" w:rsidP="00ED02ED">
      <w:pPr>
        <w:spacing w:after="0" w:line="360" w:lineRule="auto"/>
        <w:rPr>
          <w:rFonts w:ascii="Times New Roman" w:hAnsi="Times New Roman" w:cs="Times New Roman"/>
          <w:b/>
          <w:sz w:val="24"/>
          <w:szCs w:val="24"/>
        </w:rPr>
      </w:pPr>
    </w:p>
    <w:p w14:paraId="34159944" w14:textId="77777777" w:rsidR="00DF32C4" w:rsidRDefault="00DF32C4" w:rsidP="00ED02ED">
      <w:pPr>
        <w:spacing w:after="0" w:line="360" w:lineRule="auto"/>
        <w:rPr>
          <w:rFonts w:ascii="Times New Roman" w:hAnsi="Times New Roman" w:cs="Times New Roman"/>
          <w:b/>
          <w:sz w:val="24"/>
          <w:szCs w:val="24"/>
        </w:rPr>
      </w:pPr>
    </w:p>
    <w:p w14:paraId="3BA58C49" w14:textId="77777777" w:rsidR="00DF32C4" w:rsidRDefault="00DF32C4" w:rsidP="00ED02ED">
      <w:pPr>
        <w:spacing w:after="0" w:line="360" w:lineRule="auto"/>
        <w:rPr>
          <w:rFonts w:ascii="Times New Roman" w:hAnsi="Times New Roman" w:cs="Times New Roman"/>
          <w:b/>
          <w:sz w:val="24"/>
          <w:szCs w:val="24"/>
        </w:rPr>
      </w:pPr>
    </w:p>
    <w:p w14:paraId="5903AA67" w14:textId="77777777" w:rsidR="00DF32C4" w:rsidRDefault="00DF32C4" w:rsidP="00ED02ED">
      <w:pPr>
        <w:spacing w:after="0" w:line="360" w:lineRule="auto"/>
        <w:rPr>
          <w:rFonts w:ascii="Times New Roman" w:hAnsi="Times New Roman" w:cs="Times New Roman"/>
          <w:b/>
          <w:sz w:val="24"/>
          <w:szCs w:val="24"/>
        </w:rPr>
      </w:pPr>
    </w:p>
    <w:p w14:paraId="7CAD221B" w14:textId="77777777" w:rsidR="00DF32C4" w:rsidRDefault="00DF32C4" w:rsidP="00ED02ED">
      <w:pPr>
        <w:spacing w:after="0" w:line="360" w:lineRule="auto"/>
        <w:rPr>
          <w:rFonts w:ascii="Times New Roman" w:hAnsi="Times New Roman" w:cs="Times New Roman"/>
          <w:b/>
          <w:sz w:val="24"/>
          <w:szCs w:val="24"/>
        </w:rPr>
      </w:pPr>
    </w:p>
    <w:p w14:paraId="19026D35" w14:textId="77777777" w:rsidR="00DF32C4" w:rsidRDefault="00DF32C4" w:rsidP="00ED02ED">
      <w:pPr>
        <w:spacing w:after="0" w:line="360" w:lineRule="auto"/>
        <w:rPr>
          <w:rFonts w:ascii="Times New Roman" w:hAnsi="Times New Roman" w:cs="Times New Roman"/>
          <w:b/>
          <w:sz w:val="24"/>
          <w:szCs w:val="24"/>
        </w:rPr>
      </w:pPr>
    </w:p>
    <w:p w14:paraId="0D24466D" w14:textId="77777777" w:rsidR="00DF32C4" w:rsidRPr="00E36734" w:rsidRDefault="00DF32C4" w:rsidP="00ED02ED">
      <w:pPr>
        <w:spacing w:after="0" w:line="360" w:lineRule="auto"/>
        <w:rPr>
          <w:rFonts w:ascii="Times New Roman" w:hAnsi="Times New Roman" w:cs="Times New Roman"/>
          <w:b/>
          <w:sz w:val="24"/>
          <w:szCs w:val="24"/>
        </w:rPr>
      </w:pPr>
    </w:p>
    <w:p w14:paraId="79DF1B73" w14:textId="39215A85" w:rsidR="00AA2C38" w:rsidRPr="00E36734" w:rsidRDefault="00AA2C38" w:rsidP="00AA2C38">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lastRenderedPageBreak/>
        <w:t>Γράφημα 3</w:t>
      </w:r>
    </w:p>
    <w:p w14:paraId="1DFE18D8" w14:textId="64AE3FA9" w:rsidR="00AA2C38" w:rsidRPr="00E36734" w:rsidRDefault="00AA2C38" w:rsidP="00ED02ED">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Αποτίμηση οικονομικού κλίματος ΜΜΕ τελευταίου εξαμήνου</w:t>
      </w:r>
      <w:r w:rsidRPr="00E36734">
        <w:rPr>
          <w:rFonts w:ascii="Times New Roman" w:hAnsi="Times New Roman" w:cs="Times New Roman"/>
          <w:b/>
          <w:sz w:val="24"/>
          <w:szCs w:val="24"/>
        </w:rPr>
        <w:br/>
        <w:t xml:space="preserve"> - Ανά κατηγορία -</w:t>
      </w:r>
    </w:p>
    <w:p w14:paraId="3C00A487" w14:textId="4C5676E8" w:rsidR="00AA2C38" w:rsidRPr="00E36734" w:rsidRDefault="005E3167" w:rsidP="00AA2C38">
      <w:pPr>
        <w:spacing w:after="0" w:line="360" w:lineRule="auto"/>
        <w:jc w:val="both"/>
        <w:rPr>
          <w:rFonts w:ascii="Times New Roman" w:hAnsi="Times New Roman" w:cs="Times New Roman"/>
          <w:bCs/>
          <w:sz w:val="24"/>
          <w:szCs w:val="24"/>
        </w:rPr>
      </w:pPr>
      <w:r w:rsidRPr="005E3167">
        <w:rPr>
          <w:rFonts w:ascii="Times New Roman" w:hAnsi="Times New Roman" w:cs="Times New Roman"/>
          <w:bCs/>
          <w:noProof/>
          <w:sz w:val="24"/>
          <w:szCs w:val="24"/>
          <w:lang w:val="en-US"/>
        </w:rPr>
        <w:drawing>
          <wp:inline distT="0" distB="0" distL="0" distR="0" wp14:anchorId="2C1C88DC" wp14:editId="5CDAD7D4">
            <wp:extent cx="6570980" cy="4899660"/>
            <wp:effectExtent l="0" t="0" r="1270" b="15240"/>
            <wp:docPr id="35" name="Γράφημα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A88493" w14:textId="7E9388EF" w:rsidR="00E47175" w:rsidRPr="009D74E4" w:rsidRDefault="00BC68A9" w:rsidP="00AA2C38">
      <w:pPr>
        <w:spacing w:after="0" w:line="360" w:lineRule="auto"/>
        <w:jc w:val="both"/>
        <w:rPr>
          <w:rFonts w:ascii="Times New Roman" w:hAnsi="Times New Roman" w:cs="Times New Roman"/>
          <w:bCs/>
          <w:sz w:val="24"/>
          <w:szCs w:val="24"/>
          <w:highlight w:val="yellow"/>
        </w:rPr>
      </w:pPr>
      <w:r w:rsidRPr="00E12C00">
        <w:rPr>
          <w:rFonts w:ascii="Times New Roman" w:hAnsi="Times New Roman" w:cs="Times New Roman"/>
          <w:bCs/>
          <w:sz w:val="24"/>
          <w:szCs w:val="24"/>
        </w:rPr>
        <w:t xml:space="preserve">Πλέον των παραπάνω σε δυσμενέστερη θέση φαίνεται πως βρίσκονται οι επιχειρήσεις που </w:t>
      </w:r>
      <w:r w:rsidR="009D74E4">
        <w:rPr>
          <w:rFonts w:ascii="Times New Roman" w:hAnsi="Times New Roman" w:cs="Times New Roman"/>
          <w:bCs/>
          <w:sz w:val="24"/>
          <w:szCs w:val="24"/>
        </w:rPr>
        <w:t>ανέστειλαν</w:t>
      </w:r>
      <w:r w:rsidRPr="00E12C00">
        <w:rPr>
          <w:rFonts w:ascii="Times New Roman" w:hAnsi="Times New Roman" w:cs="Times New Roman"/>
          <w:bCs/>
          <w:sz w:val="24"/>
          <w:szCs w:val="24"/>
        </w:rPr>
        <w:t xml:space="preserve"> την λειτουργία τους με κρατική εντολή, καθώς το </w:t>
      </w:r>
      <w:r w:rsidR="00E12C00" w:rsidRPr="00E12C00">
        <w:rPr>
          <w:rFonts w:ascii="Times New Roman" w:hAnsi="Times New Roman" w:cs="Times New Roman"/>
          <w:bCs/>
          <w:sz w:val="24"/>
          <w:szCs w:val="24"/>
        </w:rPr>
        <w:t>69,2</w:t>
      </w:r>
      <w:r w:rsidRPr="00E12C00">
        <w:rPr>
          <w:rFonts w:ascii="Times New Roman" w:hAnsi="Times New Roman" w:cs="Times New Roman"/>
          <w:bCs/>
          <w:sz w:val="24"/>
          <w:szCs w:val="24"/>
        </w:rPr>
        <w:t xml:space="preserve">% των επιχειρήσεων αυτών δήλωσε πως το τελευταίο εξάμηνο επιδεινώθηκε η οικονομική του κατάσταση. </w:t>
      </w:r>
      <w:r w:rsidR="009D74E4">
        <w:rPr>
          <w:rFonts w:ascii="Times New Roman" w:hAnsi="Times New Roman" w:cs="Times New Roman"/>
          <w:bCs/>
          <w:sz w:val="24"/>
          <w:szCs w:val="24"/>
        </w:rPr>
        <w:t xml:space="preserve">Στην ίδια δυσμενή θέση βρίσκονται και οι επιχειρήσεις εστίασης με το 68% να δηλώνει πως το προηγούμενο εξάμηνο επιδεινώθηκε η οικονομική του κατάσταση. </w:t>
      </w:r>
      <w:r w:rsidRPr="009D74E4">
        <w:rPr>
          <w:rFonts w:ascii="Times New Roman" w:hAnsi="Times New Roman" w:cs="Times New Roman"/>
          <w:bCs/>
          <w:sz w:val="24"/>
          <w:szCs w:val="24"/>
        </w:rPr>
        <w:t>Από την άλλη μεριά</w:t>
      </w:r>
      <w:r w:rsidR="0026638B">
        <w:rPr>
          <w:rFonts w:ascii="Times New Roman" w:hAnsi="Times New Roman" w:cs="Times New Roman"/>
          <w:bCs/>
          <w:sz w:val="24"/>
          <w:szCs w:val="24"/>
        </w:rPr>
        <w:t>,</w:t>
      </w:r>
      <w:r w:rsidRPr="009D74E4">
        <w:rPr>
          <w:rFonts w:ascii="Times New Roman" w:hAnsi="Times New Roman" w:cs="Times New Roman"/>
          <w:bCs/>
          <w:sz w:val="24"/>
          <w:szCs w:val="24"/>
        </w:rPr>
        <w:t xml:space="preserve"> </w:t>
      </w:r>
      <w:r w:rsidR="009D74E4" w:rsidRPr="009D74E4">
        <w:rPr>
          <w:rFonts w:ascii="Times New Roman" w:hAnsi="Times New Roman" w:cs="Times New Roman"/>
          <w:bCs/>
          <w:sz w:val="24"/>
          <w:szCs w:val="24"/>
        </w:rPr>
        <w:t>σημαντική βελτίωση καταγράφεται στις επιχειρήσεις που δεν ανήκαν στις κατηγορίες των πληττόμενων ή των επιχειρήσεων που ανέστειλαν τη λειτουργία τους με κρατική εντολή. Ειδικότερα</w:t>
      </w:r>
      <w:r w:rsidR="0026638B">
        <w:rPr>
          <w:rFonts w:ascii="Times New Roman" w:hAnsi="Times New Roman" w:cs="Times New Roman"/>
          <w:bCs/>
          <w:sz w:val="24"/>
          <w:szCs w:val="24"/>
        </w:rPr>
        <w:t>,</w:t>
      </w:r>
      <w:r w:rsidR="009D74E4" w:rsidRPr="009D74E4">
        <w:rPr>
          <w:rFonts w:ascii="Times New Roman" w:hAnsi="Times New Roman" w:cs="Times New Roman"/>
          <w:bCs/>
          <w:sz w:val="24"/>
          <w:szCs w:val="24"/>
        </w:rPr>
        <w:t xml:space="preserve"> το 25,5% των επιχειρήσεων αυτών δήλω</w:t>
      </w:r>
      <w:r w:rsidR="009D74E4">
        <w:rPr>
          <w:rFonts w:ascii="Times New Roman" w:hAnsi="Times New Roman" w:cs="Times New Roman"/>
          <w:bCs/>
          <w:sz w:val="24"/>
          <w:szCs w:val="24"/>
        </w:rPr>
        <w:t>σε</w:t>
      </w:r>
      <w:r w:rsidR="009D74E4" w:rsidRPr="009D74E4">
        <w:rPr>
          <w:rFonts w:ascii="Times New Roman" w:hAnsi="Times New Roman" w:cs="Times New Roman"/>
          <w:bCs/>
          <w:sz w:val="24"/>
          <w:szCs w:val="24"/>
        </w:rPr>
        <w:t xml:space="preserve"> πως η οικονομική του κατάσταση βελτιώθηκε το Α</w:t>
      </w:r>
      <w:r w:rsidR="00EE72E7">
        <w:rPr>
          <w:rFonts w:ascii="Times New Roman" w:hAnsi="Times New Roman" w:cs="Times New Roman"/>
          <w:bCs/>
          <w:sz w:val="24"/>
          <w:szCs w:val="24"/>
        </w:rPr>
        <w:t>’</w:t>
      </w:r>
      <w:r w:rsidR="009D74E4" w:rsidRPr="009D74E4">
        <w:rPr>
          <w:rFonts w:ascii="Times New Roman" w:hAnsi="Times New Roman" w:cs="Times New Roman"/>
          <w:bCs/>
          <w:sz w:val="24"/>
          <w:szCs w:val="24"/>
        </w:rPr>
        <w:t xml:space="preserve"> εξάμηνο του 2021, το 40% ότι επιδεινώθηκε και το 33,7% πως παρέμεινε αμετάβλητη</w:t>
      </w:r>
      <w:r w:rsidR="009D74E4">
        <w:rPr>
          <w:rFonts w:ascii="Times New Roman" w:hAnsi="Times New Roman" w:cs="Times New Roman"/>
          <w:bCs/>
          <w:sz w:val="24"/>
          <w:szCs w:val="24"/>
        </w:rPr>
        <w:t xml:space="preserve"> (Πίνακας 1)</w:t>
      </w:r>
      <w:r w:rsidR="009D74E4" w:rsidRPr="009D74E4">
        <w:rPr>
          <w:rFonts w:ascii="Times New Roman" w:hAnsi="Times New Roman" w:cs="Times New Roman"/>
          <w:bCs/>
          <w:sz w:val="24"/>
          <w:szCs w:val="24"/>
        </w:rPr>
        <w:t xml:space="preserve">. </w:t>
      </w:r>
      <w:r w:rsidR="00E47175" w:rsidRPr="009D74E4">
        <w:rPr>
          <w:rFonts w:ascii="Times New Roman" w:hAnsi="Times New Roman" w:cs="Times New Roman"/>
          <w:bCs/>
          <w:sz w:val="24"/>
          <w:szCs w:val="24"/>
        </w:rPr>
        <w:t xml:space="preserve"> </w:t>
      </w:r>
    </w:p>
    <w:p w14:paraId="6946585B" w14:textId="77777777" w:rsidR="00A9257F" w:rsidRDefault="00A9257F" w:rsidP="00761263">
      <w:pPr>
        <w:spacing w:after="0" w:line="360" w:lineRule="auto"/>
        <w:jc w:val="both"/>
        <w:rPr>
          <w:rFonts w:ascii="Times New Roman" w:hAnsi="Times New Roman" w:cs="Times New Roman"/>
          <w:b/>
          <w:sz w:val="24"/>
          <w:szCs w:val="24"/>
          <w:u w:val="single"/>
        </w:rPr>
      </w:pPr>
    </w:p>
    <w:p w14:paraId="43AE719B" w14:textId="77777777" w:rsidR="00DF32C4" w:rsidRPr="00E36734" w:rsidRDefault="00DF32C4" w:rsidP="00761263">
      <w:pPr>
        <w:spacing w:after="0" w:line="360" w:lineRule="auto"/>
        <w:jc w:val="both"/>
        <w:rPr>
          <w:rFonts w:ascii="Times New Roman" w:hAnsi="Times New Roman" w:cs="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21"/>
        <w:gridCol w:w="2127"/>
        <w:gridCol w:w="1986"/>
        <w:gridCol w:w="1986"/>
        <w:gridCol w:w="1845"/>
      </w:tblGrid>
      <w:tr w:rsidR="00E44B9A" w:rsidRPr="00E36734" w14:paraId="7DEC8181" w14:textId="77777777" w:rsidTr="00E44B9A">
        <w:trPr>
          <w:trHeight w:val="528"/>
        </w:trPr>
        <w:tc>
          <w:tcPr>
            <w:tcW w:w="1168" w:type="pct"/>
            <w:vMerge w:val="restart"/>
            <w:shd w:val="clear" w:color="auto" w:fill="FDEADA"/>
            <w:tcMar>
              <w:top w:w="12" w:type="dxa"/>
              <w:left w:w="12" w:type="dxa"/>
              <w:bottom w:w="0" w:type="dxa"/>
              <w:right w:w="12" w:type="dxa"/>
            </w:tcMar>
            <w:vAlign w:val="center"/>
            <w:hideMark/>
          </w:tcPr>
          <w:p w14:paraId="1578D499" w14:textId="564F7E3C" w:rsidR="00E44B9A" w:rsidRPr="00E36734" w:rsidRDefault="00E44B9A" w:rsidP="00BA57E9">
            <w:pPr>
              <w:spacing w:after="0" w:line="240" w:lineRule="auto"/>
              <w:jc w:val="center"/>
              <w:rPr>
                <w:rFonts w:eastAsia="Times New Roman" w:cstheme="minorHAnsi"/>
                <w:b/>
                <w:bCs/>
                <w:sz w:val="20"/>
                <w:szCs w:val="20"/>
              </w:rPr>
            </w:pPr>
            <w:r w:rsidRPr="00E36734">
              <w:rPr>
                <w:rFonts w:eastAsia="Times New Roman" w:cstheme="minorHAnsi"/>
                <w:b/>
                <w:bCs/>
                <w:sz w:val="20"/>
                <w:szCs w:val="20"/>
              </w:rPr>
              <w:lastRenderedPageBreak/>
              <w:t xml:space="preserve">Πίνακας </w:t>
            </w:r>
            <w:r>
              <w:rPr>
                <w:rFonts w:eastAsia="Times New Roman" w:cstheme="minorHAnsi"/>
                <w:b/>
                <w:bCs/>
                <w:sz w:val="20"/>
                <w:szCs w:val="20"/>
              </w:rPr>
              <w:t>1</w:t>
            </w:r>
          </w:p>
          <w:p w14:paraId="5780A43C" w14:textId="77777777" w:rsidR="00E44B9A" w:rsidRPr="00E36734" w:rsidRDefault="00E44B9A" w:rsidP="00BA57E9">
            <w:pPr>
              <w:spacing w:after="0" w:line="240" w:lineRule="auto"/>
              <w:jc w:val="center"/>
              <w:rPr>
                <w:rFonts w:eastAsia="Times New Roman" w:cstheme="minorHAnsi"/>
                <w:b/>
                <w:bCs/>
                <w:sz w:val="20"/>
                <w:szCs w:val="20"/>
              </w:rPr>
            </w:pPr>
          </w:p>
          <w:p w14:paraId="27B9BAD0" w14:textId="18662D34" w:rsidR="00E44B9A" w:rsidRPr="00E44B9A" w:rsidRDefault="00E44B9A" w:rsidP="00E44B9A">
            <w:pPr>
              <w:spacing w:after="0" w:line="240" w:lineRule="auto"/>
              <w:jc w:val="both"/>
              <w:rPr>
                <w:rFonts w:eastAsia="Times New Roman" w:cstheme="minorHAnsi"/>
                <w:sz w:val="18"/>
                <w:szCs w:val="18"/>
              </w:rPr>
            </w:pPr>
            <w:r w:rsidRPr="00E44B9A">
              <w:rPr>
                <w:rFonts w:eastAsia="Times New Roman" w:cstheme="minorHAnsi"/>
                <w:sz w:val="18"/>
                <w:szCs w:val="18"/>
              </w:rPr>
              <w:t>Θεωρείτε ότι η οικονομική κατάσταση της επιχείρησής σας κατά το τελευταίο εξάμηνο :</w:t>
            </w:r>
          </w:p>
        </w:tc>
        <w:tc>
          <w:tcPr>
            <w:tcW w:w="2941" w:type="pct"/>
            <w:gridSpan w:val="3"/>
            <w:shd w:val="clear" w:color="auto" w:fill="FDEADA"/>
            <w:tcMar>
              <w:top w:w="12" w:type="dxa"/>
              <w:left w:w="12" w:type="dxa"/>
              <w:bottom w:w="0" w:type="dxa"/>
              <w:right w:w="12" w:type="dxa"/>
            </w:tcMar>
            <w:vAlign w:val="center"/>
            <w:hideMark/>
          </w:tcPr>
          <w:p w14:paraId="1B4097A1" w14:textId="77777777" w:rsidR="00E44B9A" w:rsidRPr="00E36734" w:rsidRDefault="00E44B9A"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891" w:type="pct"/>
            <w:vMerge w:val="restart"/>
            <w:shd w:val="clear" w:color="auto" w:fill="FDEADA"/>
          </w:tcPr>
          <w:p w14:paraId="1805BBB4"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p>
          <w:p w14:paraId="2EFEB56B"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p>
          <w:p w14:paraId="7C829937"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p>
          <w:p w14:paraId="393CE0E5"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Επιχειρήσεις </w:t>
            </w:r>
          </w:p>
          <w:p w14:paraId="6F8C8C3A"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εστίασης</w:t>
            </w:r>
          </w:p>
        </w:tc>
      </w:tr>
      <w:tr w:rsidR="00E44B9A" w:rsidRPr="00E36734" w14:paraId="78CC02F0" w14:textId="77777777" w:rsidTr="00E44B9A">
        <w:trPr>
          <w:trHeight w:val="1183"/>
        </w:trPr>
        <w:tc>
          <w:tcPr>
            <w:tcW w:w="1168" w:type="pct"/>
            <w:vMerge/>
            <w:shd w:val="clear" w:color="auto" w:fill="FDEADA"/>
            <w:tcMar>
              <w:top w:w="12" w:type="dxa"/>
              <w:left w:w="12" w:type="dxa"/>
              <w:bottom w:w="0" w:type="dxa"/>
              <w:right w:w="12" w:type="dxa"/>
            </w:tcMar>
            <w:vAlign w:val="center"/>
            <w:hideMark/>
          </w:tcPr>
          <w:p w14:paraId="75313C8D" w14:textId="77777777" w:rsidR="00E44B9A" w:rsidRPr="00E36734" w:rsidRDefault="00E44B9A" w:rsidP="00BA57E9">
            <w:pPr>
              <w:spacing w:after="0" w:line="240" w:lineRule="auto"/>
              <w:rPr>
                <w:rFonts w:eastAsia="Times New Roman" w:cstheme="minorHAnsi"/>
                <w:sz w:val="18"/>
                <w:szCs w:val="18"/>
              </w:rPr>
            </w:pPr>
          </w:p>
        </w:tc>
        <w:tc>
          <w:tcPr>
            <w:tcW w:w="1026" w:type="pct"/>
            <w:shd w:val="clear" w:color="auto" w:fill="FDEADA"/>
            <w:tcMar>
              <w:top w:w="12" w:type="dxa"/>
              <w:left w:w="12" w:type="dxa"/>
              <w:bottom w:w="0" w:type="dxa"/>
              <w:right w:w="12" w:type="dxa"/>
            </w:tcMar>
            <w:vAlign w:val="center"/>
            <w:hideMark/>
          </w:tcPr>
          <w:p w14:paraId="7CECF5D0"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ανέστειλαν την </w:t>
            </w:r>
          </w:p>
          <w:p w14:paraId="299F31DD"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δραστηριότητα τους </w:t>
            </w:r>
          </w:p>
          <w:p w14:paraId="5B48A428" w14:textId="77777777" w:rsidR="00E44B9A" w:rsidRPr="00E36734" w:rsidRDefault="00E44B9A"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με κρατική εντολή</w:t>
            </w:r>
          </w:p>
        </w:tc>
        <w:tc>
          <w:tcPr>
            <w:tcW w:w="958" w:type="pct"/>
            <w:shd w:val="clear" w:color="auto" w:fill="FDEADA"/>
            <w:tcMar>
              <w:top w:w="12" w:type="dxa"/>
              <w:left w:w="12" w:type="dxa"/>
              <w:bottom w:w="0" w:type="dxa"/>
              <w:right w:w="12" w:type="dxa"/>
            </w:tcMar>
            <w:vAlign w:val="center"/>
            <w:hideMark/>
          </w:tcPr>
          <w:p w14:paraId="0CCE6734"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ανήκαν στις </w:t>
            </w:r>
          </w:p>
          <w:p w14:paraId="6559F31B"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πληττόμενες βάσει </w:t>
            </w:r>
          </w:p>
          <w:p w14:paraId="46D03C02" w14:textId="77777777" w:rsidR="00E44B9A" w:rsidRPr="00E36734" w:rsidRDefault="00E44B9A"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ΚΑΔ επιχειρήσεις</w:t>
            </w:r>
          </w:p>
        </w:tc>
        <w:tc>
          <w:tcPr>
            <w:tcW w:w="958" w:type="pct"/>
            <w:shd w:val="clear" w:color="auto" w:fill="FDEADA"/>
            <w:tcMar>
              <w:top w:w="12" w:type="dxa"/>
              <w:left w:w="12" w:type="dxa"/>
              <w:bottom w:w="0" w:type="dxa"/>
              <w:right w:w="12" w:type="dxa"/>
            </w:tcMar>
            <w:vAlign w:val="center"/>
            <w:hideMark/>
          </w:tcPr>
          <w:p w14:paraId="3D9AF377" w14:textId="2AA08566"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r>
              <w:rPr>
                <w:rFonts w:eastAsia="Microsoft JhengHei UI" w:cstheme="minorHAnsi"/>
                <w:color w:val="000000"/>
                <w:kern w:val="24"/>
                <w:sz w:val="18"/>
                <w:szCs w:val="18"/>
              </w:rPr>
              <w:t>δ</w:t>
            </w:r>
            <w:r w:rsidRPr="00E36734">
              <w:rPr>
                <w:rFonts w:eastAsia="Microsoft JhengHei UI" w:cstheme="minorHAnsi"/>
                <w:color w:val="000000"/>
                <w:kern w:val="24"/>
                <w:sz w:val="18"/>
                <w:szCs w:val="18"/>
              </w:rPr>
              <w:t xml:space="preserve">εν ανήκαν σε καμία </w:t>
            </w:r>
          </w:p>
          <w:p w14:paraId="7C7AF4CB" w14:textId="77777777" w:rsidR="00E44B9A" w:rsidRPr="00E36734" w:rsidRDefault="00E44B9A"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από τις παρακείμενες κατηγορίες</w:t>
            </w:r>
          </w:p>
        </w:tc>
        <w:tc>
          <w:tcPr>
            <w:tcW w:w="891" w:type="pct"/>
            <w:vMerge/>
            <w:shd w:val="clear" w:color="auto" w:fill="FDEADA"/>
          </w:tcPr>
          <w:p w14:paraId="140E046A" w14:textId="77777777" w:rsidR="00E44B9A" w:rsidRPr="00E36734" w:rsidRDefault="00E44B9A" w:rsidP="00BA57E9">
            <w:pPr>
              <w:spacing w:after="0" w:line="240" w:lineRule="auto"/>
              <w:jc w:val="center"/>
              <w:textAlignment w:val="center"/>
              <w:rPr>
                <w:rFonts w:eastAsia="Microsoft JhengHei UI" w:cstheme="minorHAnsi"/>
                <w:color w:val="000000"/>
                <w:kern w:val="24"/>
                <w:sz w:val="18"/>
                <w:szCs w:val="18"/>
              </w:rPr>
            </w:pPr>
          </w:p>
        </w:tc>
      </w:tr>
      <w:tr w:rsidR="00E44B9A" w:rsidRPr="00E36734" w14:paraId="0E2D1336" w14:textId="77777777" w:rsidTr="00E44B9A">
        <w:trPr>
          <w:trHeight w:val="528"/>
        </w:trPr>
        <w:tc>
          <w:tcPr>
            <w:tcW w:w="1168" w:type="pct"/>
            <w:shd w:val="clear" w:color="auto" w:fill="FFFFFF"/>
            <w:tcMar>
              <w:top w:w="12" w:type="dxa"/>
              <w:left w:w="12" w:type="dxa"/>
              <w:bottom w:w="0" w:type="dxa"/>
              <w:right w:w="12" w:type="dxa"/>
            </w:tcMar>
            <w:vAlign w:val="center"/>
            <w:hideMark/>
          </w:tcPr>
          <w:p w14:paraId="4599A660" w14:textId="3AC7C0FD" w:rsidR="00E44B9A" w:rsidRPr="00E36734" w:rsidRDefault="00E44B9A" w:rsidP="00BA57E9">
            <w:pPr>
              <w:spacing w:after="0" w:line="240" w:lineRule="auto"/>
              <w:textAlignment w:val="bottom"/>
              <w:rPr>
                <w:rFonts w:eastAsia="Times New Roman" w:cstheme="minorHAnsi"/>
                <w:sz w:val="18"/>
                <w:szCs w:val="18"/>
                <w:lang w:val="en-US"/>
              </w:rPr>
            </w:pPr>
            <w:r>
              <w:rPr>
                <w:rFonts w:eastAsia="Microsoft JhengHei UI" w:cstheme="minorHAnsi"/>
                <w:color w:val="000000"/>
                <w:kern w:val="24"/>
                <w:sz w:val="18"/>
                <w:szCs w:val="18"/>
              </w:rPr>
              <w:t>Βελτιώθηκε</w:t>
            </w:r>
          </w:p>
        </w:tc>
        <w:tc>
          <w:tcPr>
            <w:tcW w:w="1026" w:type="pct"/>
            <w:shd w:val="clear" w:color="auto" w:fill="FFFFFF"/>
            <w:tcMar>
              <w:top w:w="12" w:type="dxa"/>
              <w:left w:w="12" w:type="dxa"/>
              <w:bottom w:w="0" w:type="dxa"/>
              <w:right w:w="12" w:type="dxa"/>
            </w:tcMar>
            <w:vAlign w:val="center"/>
            <w:hideMark/>
          </w:tcPr>
          <w:p w14:paraId="32908E03" w14:textId="7BE75648"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12,1</w:t>
            </w:r>
          </w:p>
        </w:tc>
        <w:tc>
          <w:tcPr>
            <w:tcW w:w="958" w:type="pct"/>
            <w:shd w:val="clear" w:color="auto" w:fill="FFFFFF"/>
            <w:tcMar>
              <w:top w:w="12" w:type="dxa"/>
              <w:left w:w="12" w:type="dxa"/>
              <w:bottom w:w="0" w:type="dxa"/>
              <w:right w:w="12" w:type="dxa"/>
            </w:tcMar>
            <w:vAlign w:val="center"/>
            <w:hideMark/>
          </w:tcPr>
          <w:p w14:paraId="6EA4DA76" w14:textId="29F7B2CA"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21,8</w:t>
            </w:r>
          </w:p>
        </w:tc>
        <w:tc>
          <w:tcPr>
            <w:tcW w:w="958" w:type="pct"/>
            <w:shd w:val="clear" w:color="auto" w:fill="FFFFFF"/>
            <w:tcMar>
              <w:top w:w="12" w:type="dxa"/>
              <w:left w:w="12" w:type="dxa"/>
              <w:bottom w:w="0" w:type="dxa"/>
              <w:right w:w="12" w:type="dxa"/>
            </w:tcMar>
            <w:vAlign w:val="center"/>
            <w:hideMark/>
          </w:tcPr>
          <w:p w14:paraId="455DC4BF" w14:textId="7EC4F1EC"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25,5</w:t>
            </w:r>
          </w:p>
        </w:tc>
        <w:tc>
          <w:tcPr>
            <w:tcW w:w="891" w:type="pct"/>
            <w:shd w:val="clear" w:color="auto" w:fill="FFFFFF"/>
            <w:vAlign w:val="center"/>
          </w:tcPr>
          <w:p w14:paraId="3951B22C" w14:textId="4C80DBA8" w:rsidR="00E44B9A" w:rsidRPr="00E44B9A" w:rsidRDefault="00E44B9A" w:rsidP="00BA57E9">
            <w:pPr>
              <w:spacing w:after="0" w:line="240" w:lineRule="auto"/>
              <w:jc w:val="center"/>
              <w:textAlignment w:val="center"/>
              <w:rPr>
                <w:rFonts w:eastAsia="Microsoft JhengHei UI" w:cstheme="minorHAnsi"/>
                <w:color w:val="000000"/>
                <w:kern w:val="24"/>
                <w:sz w:val="18"/>
                <w:szCs w:val="18"/>
              </w:rPr>
            </w:pPr>
            <w:r w:rsidRPr="00E44B9A">
              <w:rPr>
                <w:rFonts w:eastAsia="Microsoft JhengHei UI" w:cstheme="minorHAnsi"/>
                <w:color w:val="000000"/>
                <w:kern w:val="24"/>
                <w:sz w:val="18"/>
                <w:szCs w:val="18"/>
              </w:rPr>
              <w:t>12,4</w:t>
            </w:r>
          </w:p>
        </w:tc>
      </w:tr>
      <w:tr w:rsidR="00E44B9A" w:rsidRPr="00E36734" w14:paraId="09BB7E7F" w14:textId="77777777" w:rsidTr="00E44B9A">
        <w:trPr>
          <w:trHeight w:val="528"/>
        </w:trPr>
        <w:tc>
          <w:tcPr>
            <w:tcW w:w="1168" w:type="pct"/>
            <w:shd w:val="clear" w:color="auto" w:fill="FFFFFF"/>
            <w:tcMar>
              <w:top w:w="12" w:type="dxa"/>
              <w:left w:w="12" w:type="dxa"/>
              <w:bottom w:w="0" w:type="dxa"/>
              <w:right w:w="12" w:type="dxa"/>
            </w:tcMar>
            <w:vAlign w:val="center"/>
            <w:hideMark/>
          </w:tcPr>
          <w:p w14:paraId="7246AE32" w14:textId="46F0D23F" w:rsidR="00E44B9A" w:rsidRPr="00E36734" w:rsidRDefault="00E44B9A" w:rsidP="00BA57E9">
            <w:pPr>
              <w:spacing w:after="0" w:line="240" w:lineRule="auto"/>
              <w:textAlignment w:val="bottom"/>
              <w:rPr>
                <w:rFonts w:eastAsia="Times New Roman" w:cstheme="minorHAnsi"/>
                <w:sz w:val="18"/>
                <w:szCs w:val="18"/>
                <w:lang w:val="en-US"/>
              </w:rPr>
            </w:pPr>
            <w:r>
              <w:rPr>
                <w:rFonts w:eastAsia="Microsoft JhengHei UI" w:cstheme="minorHAnsi"/>
                <w:color w:val="000000"/>
                <w:kern w:val="24"/>
                <w:sz w:val="18"/>
                <w:szCs w:val="18"/>
              </w:rPr>
              <w:t>Επιδεινώθηκε</w:t>
            </w:r>
          </w:p>
        </w:tc>
        <w:tc>
          <w:tcPr>
            <w:tcW w:w="1026" w:type="pct"/>
            <w:shd w:val="clear" w:color="auto" w:fill="FFFFFF"/>
            <w:tcMar>
              <w:top w:w="12" w:type="dxa"/>
              <w:left w:w="12" w:type="dxa"/>
              <w:bottom w:w="0" w:type="dxa"/>
              <w:right w:w="12" w:type="dxa"/>
            </w:tcMar>
            <w:vAlign w:val="center"/>
            <w:hideMark/>
          </w:tcPr>
          <w:p w14:paraId="1C959B1E" w14:textId="78AC45A0" w:rsidR="00E44B9A" w:rsidRPr="000E17C8" w:rsidRDefault="000E17C8" w:rsidP="00BA57E9">
            <w:pPr>
              <w:spacing w:after="0" w:line="240" w:lineRule="auto"/>
              <w:jc w:val="center"/>
              <w:textAlignment w:val="center"/>
              <w:rPr>
                <w:rFonts w:eastAsia="Times New Roman" w:cstheme="minorHAnsi"/>
                <w:b/>
                <w:bCs/>
                <w:sz w:val="18"/>
                <w:szCs w:val="18"/>
              </w:rPr>
            </w:pPr>
            <w:r w:rsidRPr="000E17C8">
              <w:rPr>
                <w:rFonts w:eastAsia="Microsoft JhengHei UI" w:cstheme="minorHAnsi"/>
                <w:b/>
                <w:bCs/>
                <w:color w:val="000000"/>
                <w:kern w:val="24"/>
                <w:sz w:val="18"/>
                <w:szCs w:val="18"/>
              </w:rPr>
              <w:t>69,2</w:t>
            </w:r>
          </w:p>
        </w:tc>
        <w:tc>
          <w:tcPr>
            <w:tcW w:w="958" w:type="pct"/>
            <w:shd w:val="clear" w:color="auto" w:fill="FFFFFF"/>
            <w:tcMar>
              <w:top w:w="12" w:type="dxa"/>
              <w:left w:w="12" w:type="dxa"/>
              <w:bottom w:w="0" w:type="dxa"/>
              <w:right w:w="12" w:type="dxa"/>
            </w:tcMar>
            <w:vAlign w:val="center"/>
            <w:hideMark/>
          </w:tcPr>
          <w:p w14:paraId="326C978E" w14:textId="46C09DB5" w:rsidR="00E44B9A" w:rsidRPr="00E44B9A" w:rsidRDefault="000E17C8" w:rsidP="00BA57E9">
            <w:pPr>
              <w:spacing w:after="0" w:line="240" w:lineRule="auto"/>
              <w:jc w:val="center"/>
              <w:textAlignment w:val="center"/>
              <w:rPr>
                <w:rFonts w:eastAsia="Times New Roman" w:cstheme="minorHAnsi"/>
                <w:sz w:val="18"/>
                <w:szCs w:val="18"/>
              </w:rPr>
            </w:pPr>
            <w:r>
              <w:rPr>
                <w:rFonts w:eastAsia="Times New Roman" w:cstheme="minorHAnsi"/>
                <w:sz w:val="18"/>
                <w:szCs w:val="18"/>
              </w:rPr>
              <w:t>52,8</w:t>
            </w:r>
          </w:p>
        </w:tc>
        <w:tc>
          <w:tcPr>
            <w:tcW w:w="958" w:type="pct"/>
            <w:shd w:val="clear" w:color="auto" w:fill="FFFFFF"/>
            <w:tcMar>
              <w:top w:w="12" w:type="dxa"/>
              <w:left w:w="12" w:type="dxa"/>
              <w:bottom w:w="0" w:type="dxa"/>
              <w:right w:w="12" w:type="dxa"/>
            </w:tcMar>
            <w:vAlign w:val="center"/>
            <w:hideMark/>
          </w:tcPr>
          <w:p w14:paraId="0AFEEB45" w14:textId="299A01BB"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40,0</w:t>
            </w:r>
          </w:p>
        </w:tc>
        <w:tc>
          <w:tcPr>
            <w:tcW w:w="891" w:type="pct"/>
            <w:shd w:val="clear" w:color="auto" w:fill="FFFFFF"/>
            <w:vAlign w:val="center"/>
          </w:tcPr>
          <w:p w14:paraId="709470E2" w14:textId="1FB180DE" w:rsidR="00E44B9A" w:rsidRPr="00E44B9A" w:rsidRDefault="00E44B9A" w:rsidP="00BA57E9">
            <w:pPr>
              <w:spacing w:after="0" w:line="240" w:lineRule="auto"/>
              <w:jc w:val="center"/>
              <w:textAlignment w:val="center"/>
              <w:rPr>
                <w:rFonts w:eastAsia="Microsoft JhengHei UI" w:cstheme="minorHAnsi"/>
                <w:b/>
                <w:bCs/>
                <w:color w:val="000000"/>
                <w:kern w:val="24"/>
                <w:sz w:val="18"/>
                <w:szCs w:val="18"/>
              </w:rPr>
            </w:pPr>
            <w:r w:rsidRPr="00E44B9A">
              <w:rPr>
                <w:rFonts w:eastAsia="Microsoft JhengHei UI" w:cstheme="minorHAnsi"/>
                <w:b/>
                <w:bCs/>
                <w:color w:val="000000"/>
                <w:kern w:val="24"/>
                <w:sz w:val="18"/>
                <w:szCs w:val="18"/>
              </w:rPr>
              <w:t>68,0</w:t>
            </w:r>
          </w:p>
        </w:tc>
      </w:tr>
      <w:tr w:rsidR="00E44B9A" w:rsidRPr="00E36734" w14:paraId="2DC78DAE" w14:textId="77777777" w:rsidTr="00E44B9A">
        <w:trPr>
          <w:trHeight w:val="528"/>
        </w:trPr>
        <w:tc>
          <w:tcPr>
            <w:tcW w:w="1168" w:type="pct"/>
            <w:shd w:val="clear" w:color="auto" w:fill="FFFFFF"/>
            <w:tcMar>
              <w:top w:w="12" w:type="dxa"/>
              <w:left w:w="12" w:type="dxa"/>
              <w:bottom w:w="0" w:type="dxa"/>
              <w:right w:w="12" w:type="dxa"/>
            </w:tcMar>
            <w:vAlign w:val="center"/>
            <w:hideMark/>
          </w:tcPr>
          <w:p w14:paraId="78F0934B" w14:textId="26E9C50C" w:rsidR="00E44B9A" w:rsidRPr="00E36734" w:rsidRDefault="00E44B9A" w:rsidP="00BA57E9">
            <w:pPr>
              <w:spacing w:after="0" w:line="240" w:lineRule="auto"/>
              <w:textAlignment w:val="bottom"/>
              <w:rPr>
                <w:rFonts w:eastAsia="Times New Roman" w:cstheme="minorHAnsi"/>
                <w:sz w:val="18"/>
                <w:szCs w:val="18"/>
                <w:lang w:val="en-US"/>
              </w:rPr>
            </w:pPr>
            <w:r>
              <w:rPr>
                <w:rFonts w:eastAsia="Microsoft JhengHei UI" w:cstheme="minorHAnsi"/>
                <w:color w:val="000000"/>
                <w:kern w:val="24"/>
                <w:sz w:val="18"/>
                <w:szCs w:val="18"/>
              </w:rPr>
              <w:t>Παρέμεινε αμετάβλητη</w:t>
            </w:r>
          </w:p>
        </w:tc>
        <w:tc>
          <w:tcPr>
            <w:tcW w:w="1026" w:type="pct"/>
            <w:shd w:val="clear" w:color="auto" w:fill="FFFFFF"/>
            <w:tcMar>
              <w:top w:w="12" w:type="dxa"/>
              <w:left w:w="12" w:type="dxa"/>
              <w:bottom w:w="0" w:type="dxa"/>
              <w:right w:w="12" w:type="dxa"/>
            </w:tcMar>
            <w:vAlign w:val="center"/>
            <w:hideMark/>
          </w:tcPr>
          <w:p w14:paraId="404F9730" w14:textId="4664B2C3"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17,9</w:t>
            </w:r>
          </w:p>
        </w:tc>
        <w:tc>
          <w:tcPr>
            <w:tcW w:w="958" w:type="pct"/>
            <w:shd w:val="clear" w:color="auto" w:fill="FFFFFF"/>
            <w:tcMar>
              <w:top w:w="12" w:type="dxa"/>
              <w:left w:w="12" w:type="dxa"/>
              <w:bottom w:w="0" w:type="dxa"/>
              <w:right w:w="12" w:type="dxa"/>
            </w:tcMar>
            <w:vAlign w:val="center"/>
            <w:hideMark/>
          </w:tcPr>
          <w:p w14:paraId="4867D87D" w14:textId="1A0DFA08"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25,0</w:t>
            </w:r>
          </w:p>
        </w:tc>
        <w:tc>
          <w:tcPr>
            <w:tcW w:w="958" w:type="pct"/>
            <w:shd w:val="clear" w:color="auto" w:fill="FFFFFF"/>
            <w:tcMar>
              <w:top w:w="12" w:type="dxa"/>
              <w:left w:w="12" w:type="dxa"/>
              <w:bottom w:w="0" w:type="dxa"/>
              <w:right w:w="12" w:type="dxa"/>
            </w:tcMar>
            <w:vAlign w:val="center"/>
            <w:hideMark/>
          </w:tcPr>
          <w:p w14:paraId="52E91B43" w14:textId="3224B69F"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33,7</w:t>
            </w:r>
          </w:p>
        </w:tc>
        <w:tc>
          <w:tcPr>
            <w:tcW w:w="891" w:type="pct"/>
            <w:shd w:val="clear" w:color="auto" w:fill="FFFFFF"/>
            <w:vAlign w:val="center"/>
          </w:tcPr>
          <w:p w14:paraId="53C7A9BD" w14:textId="5DE7C6A8" w:rsidR="00E44B9A" w:rsidRPr="00E44B9A" w:rsidRDefault="00E44B9A" w:rsidP="00BA57E9">
            <w:pPr>
              <w:spacing w:after="0" w:line="240" w:lineRule="auto"/>
              <w:jc w:val="center"/>
              <w:textAlignment w:val="center"/>
              <w:rPr>
                <w:rFonts w:eastAsia="Microsoft JhengHei UI" w:cstheme="minorHAnsi"/>
                <w:color w:val="000000"/>
                <w:kern w:val="24"/>
                <w:sz w:val="18"/>
                <w:szCs w:val="18"/>
              </w:rPr>
            </w:pPr>
            <w:r w:rsidRPr="00E44B9A">
              <w:rPr>
                <w:rFonts w:eastAsia="Microsoft JhengHei UI" w:cstheme="minorHAnsi"/>
                <w:color w:val="000000"/>
                <w:kern w:val="24"/>
                <w:sz w:val="18"/>
                <w:szCs w:val="18"/>
              </w:rPr>
              <w:t>18,6</w:t>
            </w:r>
          </w:p>
        </w:tc>
      </w:tr>
      <w:tr w:rsidR="00E44B9A" w:rsidRPr="00E36734" w14:paraId="5CE5F5DE" w14:textId="77777777" w:rsidTr="00E44B9A">
        <w:trPr>
          <w:trHeight w:val="528"/>
        </w:trPr>
        <w:tc>
          <w:tcPr>
            <w:tcW w:w="1168" w:type="pct"/>
            <w:shd w:val="clear" w:color="auto" w:fill="FFFFFF"/>
            <w:tcMar>
              <w:top w:w="12" w:type="dxa"/>
              <w:left w:w="12" w:type="dxa"/>
              <w:bottom w:w="0" w:type="dxa"/>
              <w:right w:w="12" w:type="dxa"/>
            </w:tcMar>
            <w:vAlign w:val="center"/>
            <w:hideMark/>
          </w:tcPr>
          <w:p w14:paraId="5B9313C4" w14:textId="462121A9" w:rsidR="00E44B9A" w:rsidRPr="00E36734" w:rsidRDefault="00E44B9A" w:rsidP="00BA57E9">
            <w:pPr>
              <w:spacing w:after="0" w:line="240" w:lineRule="auto"/>
              <w:textAlignment w:val="bottom"/>
              <w:rPr>
                <w:rFonts w:eastAsia="Times New Roman" w:cstheme="minorHAnsi"/>
                <w:sz w:val="18"/>
                <w:szCs w:val="18"/>
                <w:lang w:val="en-US"/>
              </w:rPr>
            </w:pPr>
            <w:r w:rsidRPr="00E36734">
              <w:rPr>
                <w:rFonts w:eastAsia="Microsoft JhengHei UI" w:cstheme="minorHAnsi"/>
                <w:color w:val="000000"/>
                <w:kern w:val="24"/>
                <w:sz w:val="18"/>
                <w:szCs w:val="18"/>
              </w:rPr>
              <w:t>Δ.Α</w:t>
            </w:r>
          </w:p>
        </w:tc>
        <w:tc>
          <w:tcPr>
            <w:tcW w:w="1026" w:type="pct"/>
            <w:shd w:val="clear" w:color="auto" w:fill="FFFFFF"/>
            <w:tcMar>
              <w:top w:w="12" w:type="dxa"/>
              <w:left w:w="12" w:type="dxa"/>
              <w:bottom w:w="0" w:type="dxa"/>
              <w:right w:w="12" w:type="dxa"/>
            </w:tcMar>
            <w:vAlign w:val="center"/>
            <w:hideMark/>
          </w:tcPr>
          <w:p w14:paraId="346A31F3" w14:textId="3A33D4FB"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0,9</w:t>
            </w:r>
          </w:p>
        </w:tc>
        <w:tc>
          <w:tcPr>
            <w:tcW w:w="958" w:type="pct"/>
            <w:shd w:val="clear" w:color="auto" w:fill="FFFFFF"/>
            <w:tcMar>
              <w:top w:w="12" w:type="dxa"/>
              <w:left w:w="12" w:type="dxa"/>
              <w:bottom w:w="0" w:type="dxa"/>
              <w:right w:w="12" w:type="dxa"/>
            </w:tcMar>
            <w:vAlign w:val="center"/>
            <w:hideMark/>
          </w:tcPr>
          <w:p w14:paraId="690B18C2" w14:textId="1A260359"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0,3</w:t>
            </w:r>
          </w:p>
        </w:tc>
        <w:tc>
          <w:tcPr>
            <w:tcW w:w="958" w:type="pct"/>
            <w:shd w:val="clear" w:color="auto" w:fill="FFFFFF"/>
            <w:tcMar>
              <w:top w:w="12" w:type="dxa"/>
              <w:left w:w="12" w:type="dxa"/>
              <w:bottom w:w="0" w:type="dxa"/>
              <w:right w:w="12" w:type="dxa"/>
            </w:tcMar>
            <w:vAlign w:val="center"/>
            <w:hideMark/>
          </w:tcPr>
          <w:p w14:paraId="69C1B060" w14:textId="354C8298" w:rsidR="00E44B9A" w:rsidRPr="00E44B9A" w:rsidRDefault="000E17C8" w:rsidP="00BA57E9">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0,8</w:t>
            </w:r>
          </w:p>
        </w:tc>
        <w:tc>
          <w:tcPr>
            <w:tcW w:w="891" w:type="pct"/>
            <w:shd w:val="clear" w:color="auto" w:fill="FFFFFF"/>
            <w:vAlign w:val="center"/>
          </w:tcPr>
          <w:p w14:paraId="46985447" w14:textId="5248AF56" w:rsidR="00E44B9A" w:rsidRPr="00E44B9A" w:rsidRDefault="00E44B9A" w:rsidP="00BA57E9">
            <w:pPr>
              <w:spacing w:after="0" w:line="240" w:lineRule="auto"/>
              <w:jc w:val="center"/>
              <w:textAlignment w:val="center"/>
              <w:rPr>
                <w:rFonts w:eastAsia="Microsoft JhengHei UI" w:cstheme="minorHAnsi"/>
                <w:color w:val="000000"/>
                <w:kern w:val="24"/>
                <w:sz w:val="18"/>
                <w:szCs w:val="18"/>
              </w:rPr>
            </w:pPr>
            <w:r w:rsidRPr="00E44B9A">
              <w:rPr>
                <w:rFonts w:eastAsia="Microsoft JhengHei UI" w:cstheme="minorHAnsi"/>
                <w:color w:val="000000"/>
                <w:kern w:val="24"/>
                <w:sz w:val="18"/>
                <w:szCs w:val="18"/>
              </w:rPr>
              <w:t>1,0</w:t>
            </w:r>
          </w:p>
        </w:tc>
      </w:tr>
    </w:tbl>
    <w:p w14:paraId="77772FDC" w14:textId="77777777" w:rsidR="00E44B9A" w:rsidRDefault="00E44B9A" w:rsidP="00761263">
      <w:pPr>
        <w:tabs>
          <w:tab w:val="left" w:pos="4530"/>
        </w:tabs>
        <w:spacing w:after="0" w:line="360" w:lineRule="auto"/>
        <w:jc w:val="both"/>
        <w:rPr>
          <w:rFonts w:ascii="Times New Roman" w:eastAsia="Times New Roman" w:hAnsi="Times New Roman" w:cs="Times New Roman"/>
          <w:sz w:val="24"/>
          <w:szCs w:val="24"/>
          <w:lang w:eastAsia="el-GR"/>
        </w:rPr>
      </w:pPr>
    </w:p>
    <w:p w14:paraId="7C4D3975" w14:textId="7A34A51C" w:rsidR="00A9257F" w:rsidRPr="00E36734" w:rsidRDefault="00A9257F" w:rsidP="00761263">
      <w:pPr>
        <w:spacing w:after="0" w:line="360" w:lineRule="auto"/>
        <w:jc w:val="both"/>
        <w:rPr>
          <w:rFonts w:ascii="Times New Roman" w:hAnsi="Times New Roman" w:cs="Times New Roman"/>
          <w:b/>
          <w:sz w:val="24"/>
          <w:szCs w:val="24"/>
          <w:u w:val="single"/>
        </w:rPr>
      </w:pPr>
      <w:r w:rsidRPr="00E36734">
        <w:rPr>
          <w:rFonts w:ascii="Times New Roman" w:hAnsi="Times New Roman" w:cs="Times New Roman"/>
          <w:b/>
          <w:sz w:val="24"/>
          <w:szCs w:val="24"/>
          <w:u w:val="single"/>
        </w:rPr>
        <w:t>Κύκλος εργασιών</w:t>
      </w:r>
    </w:p>
    <w:p w14:paraId="34873340" w14:textId="1D7400EB" w:rsidR="00515537" w:rsidRPr="00B466E4" w:rsidRDefault="00A9257F" w:rsidP="00761263">
      <w:pPr>
        <w:spacing w:after="0" w:line="360" w:lineRule="auto"/>
        <w:jc w:val="both"/>
        <w:rPr>
          <w:rFonts w:ascii="Times New Roman" w:hAnsi="Times New Roman" w:cs="Times New Roman"/>
          <w:sz w:val="24"/>
          <w:szCs w:val="24"/>
        </w:rPr>
      </w:pPr>
      <w:r w:rsidRPr="00B466E4">
        <w:rPr>
          <w:rFonts w:ascii="Times New Roman" w:hAnsi="Times New Roman" w:cs="Times New Roman"/>
          <w:sz w:val="24"/>
          <w:szCs w:val="24"/>
        </w:rPr>
        <w:t xml:space="preserve">Ο δείκτης κύκλου εργασιών των </w:t>
      </w:r>
      <w:r w:rsidR="008345E5" w:rsidRPr="00B466E4">
        <w:rPr>
          <w:rFonts w:ascii="Times New Roman" w:hAnsi="Times New Roman" w:cs="Times New Roman"/>
          <w:sz w:val="24"/>
          <w:szCs w:val="24"/>
        </w:rPr>
        <w:t xml:space="preserve">μικρών και </w:t>
      </w:r>
      <w:r w:rsidRPr="00B466E4">
        <w:rPr>
          <w:rFonts w:ascii="Times New Roman" w:hAnsi="Times New Roman" w:cs="Times New Roman"/>
          <w:sz w:val="24"/>
          <w:szCs w:val="24"/>
        </w:rPr>
        <w:t xml:space="preserve">πολύ μικρών </w:t>
      </w:r>
      <w:r w:rsidR="004568FB" w:rsidRPr="00B466E4">
        <w:rPr>
          <w:rFonts w:ascii="Times New Roman" w:hAnsi="Times New Roman" w:cs="Times New Roman"/>
          <w:sz w:val="24"/>
          <w:szCs w:val="24"/>
        </w:rPr>
        <w:t>επιχειρήσεων μετά την καθίζηση που κατέγραψε το Α</w:t>
      </w:r>
      <w:r w:rsidR="00B84D9C">
        <w:rPr>
          <w:rFonts w:ascii="Times New Roman" w:hAnsi="Times New Roman" w:cs="Times New Roman"/>
          <w:sz w:val="24"/>
          <w:szCs w:val="24"/>
        </w:rPr>
        <w:t>’</w:t>
      </w:r>
      <w:r w:rsidR="004568FB" w:rsidRPr="00B466E4">
        <w:rPr>
          <w:rFonts w:ascii="Times New Roman" w:hAnsi="Times New Roman" w:cs="Times New Roman"/>
          <w:sz w:val="24"/>
          <w:szCs w:val="24"/>
        </w:rPr>
        <w:t xml:space="preserve"> εξάμηνο του 2020 (17,2 μονάδες), </w:t>
      </w:r>
      <w:r w:rsidR="002212CB" w:rsidRPr="00B466E4">
        <w:rPr>
          <w:rFonts w:ascii="Times New Roman" w:hAnsi="Times New Roman" w:cs="Times New Roman"/>
          <w:sz w:val="24"/>
          <w:szCs w:val="24"/>
        </w:rPr>
        <w:t xml:space="preserve">και την αυξημένη αλλά χαμηλή επίδοση που κατέγραψε </w:t>
      </w:r>
      <w:r w:rsidR="004568FB" w:rsidRPr="00B466E4">
        <w:rPr>
          <w:rFonts w:ascii="Times New Roman" w:hAnsi="Times New Roman" w:cs="Times New Roman"/>
          <w:sz w:val="24"/>
          <w:szCs w:val="24"/>
        </w:rPr>
        <w:t xml:space="preserve">το Β εξάμηνο </w:t>
      </w:r>
      <w:r w:rsidR="000428DB" w:rsidRPr="00B466E4">
        <w:rPr>
          <w:rFonts w:ascii="Times New Roman" w:hAnsi="Times New Roman" w:cs="Times New Roman"/>
          <w:sz w:val="24"/>
          <w:szCs w:val="24"/>
        </w:rPr>
        <w:t>του 2020 (28,4 μονάδες) βελτιώνεται σημαντικά το Α</w:t>
      </w:r>
      <w:r w:rsidR="00B84D9C">
        <w:rPr>
          <w:rFonts w:ascii="Times New Roman" w:hAnsi="Times New Roman" w:cs="Times New Roman"/>
          <w:sz w:val="24"/>
          <w:szCs w:val="24"/>
        </w:rPr>
        <w:t>’</w:t>
      </w:r>
      <w:r w:rsidR="000428DB" w:rsidRPr="00B466E4">
        <w:rPr>
          <w:rFonts w:ascii="Times New Roman" w:hAnsi="Times New Roman" w:cs="Times New Roman"/>
          <w:sz w:val="24"/>
          <w:szCs w:val="24"/>
        </w:rPr>
        <w:t xml:space="preserve"> εξάμηνο του 2021 καθώς</w:t>
      </w:r>
      <w:r w:rsidR="004568FB" w:rsidRPr="00B466E4">
        <w:rPr>
          <w:rFonts w:ascii="Times New Roman" w:hAnsi="Times New Roman" w:cs="Times New Roman"/>
          <w:sz w:val="24"/>
          <w:szCs w:val="24"/>
        </w:rPr>
        <w:t xml:space="preserve"> διαμορφώνεται στις </w:t>
      </w:r>
      <w:r w:rsidR="000428DB" w:rsidRPr="00B466E4">
        <w:rPr>
          <w:rFonts w:ascii="Times New Roman" w:hAnsi="Times New Roman" w:cs="Times New Roman"/>
          <w:sz w:val="24"/>
          <w:szCs w:val="24"/>
        </w:rPr>
        <w:t>43,9</w:t>
      </w:r>
      <w:r w:rsidR="0091560F" w:rsidRPr="00B466E4">
        <w:rPr>
          <w:rFonts w:ascii="Times New Roman" w:hAnsi="Times New Roman" w:cs="Times New Roman"/>
          <w:sz w:val="24"/>
          <w:szCs w:val="24"/>
        </w:rPr>
        <w:t xml:space="preserve"> μονάδες</w:t>
      </w:r>
      <w:r w:rsidR="000428DB" w:rsidRPr="00B466E4">
        <w:rPr>
          <w:rFonts w:ascii="Times New Roman" w:hAnsi="Times New Roman" w:cs="Times New Roman"/>
          <w:sz w:val="24"/>
          <w:szCs w:val="24"/>
        </w:rPr>
        <w:t xml:space="preserve"> αυξημένος κατά 15,5 μονάδες σε σχέση με το προηγούμενο εξάμηνο και κατά 26,7 μονάδες σε σχέση με τον αντίστοιχο περυσινό</w:t>
      </w:r>
      <w:r w:rsidR="00B466E4">
        <w:rPr>
          <w:rFonts w:ascii="Times New Roman" w:hAnsi="Times New Roman" w:cs="Times New Roman"/>
          <w:sz w:val="24"/>
          <w:szCs w:val="24"/>
        </w:rPr>
        <w:t xml:space="preserve"> (Γράφημα 4)</w:t>
      </w:r>
      <w:r w:rsidRPr="00B466E4">
        <w:rPr>
          <w:rFonts w:ascii="Times New Roman" w:hAnsi="Times New Roman" w:cs="Times New Roman"/>
          <w:sz w:val="24"/>
          <w:szCs w:val="24"/>
        </w:rPr>
        <w:t xml:space="preserve">. </w:t>
      </w:r>
      <w:r w:rsidR="000428DB" w:rsidRPr="00B466E4">
        <w:rPr>
          <w:rFonts w:ascii="Times New Roman" w:hAnsi="Times New Roman" w:cs="Times New Roman"/>
          <w:sz w:val="24"/>
          <w:szCs w:val="24"/>
        </w:rPr>
        <w:t>Η βελτίωση αυτή που συντελείται σε ένα διάστημα σημαντικών περιορισμών για την οικονομική δρασ</w:t>
      </w:r>
      <w:r w:rsidR="00B84D9C">
        <w:rPr>
          <w:rFonts w:ascii="Times New Roman" w:hAnsi="Times New Roman" w:cs="Times New Roman"/>
          <w:sz w:val="24"/>
          <w:szCs w:val="24"/>
        </w:rPr>
        <w:t>τ</w:t>
      </w:r>
      <w:r w:rsidR="000428DB" w:rsidRPr="00B466E4">
        <w:rPr>
          <w:rFonts w:ascii="Times New Roman" w:hAnsi="Times New Roman" w:cs="Times New Roman"/>
          <w:sz w:val="24"/>
          <w:szCs w:val="24"/>
        </w:rPr>
        <w:t xml:space="preserve">ηριότητα υποδηλώνει πως παρά τις όποιες αστοχίες τα μέτρα στήριξης έχουν συμβάλει στην ανάκαμψη που καταγράφει η ελληνική </w:t>
      </w:r>
      <w:r w:rsidR="00B466E4" w:rsidRPr="00B466E4">
        <w:rPr>
          <w:rFonts w:ascii="Times New Roman" w:hAnsi="Times New Roman" w:cs="Times New Roman"/>
          <w:sz w:val="24"/>
          <w:szCs w:val="24"/>
        </w:rPr>
        <w:t>οικονομία</w:t>
      </w:r>
      <w:r w:rsidR="000428DB" w:rsidRPr="00B466E4">
        <w:rPr>
          <w:rFonts w:ascii="Times New Roman" w:hAnsi="Times New Roman" w:cs="Times New Roman"/>
          <w:sz w:val="24"/>
          <w:szCs w:val="24"/>
        </w:rPr>
        <w:t xml:space="preserve"> μετά την </w:t>
      </w:r>
      <w:r w:rsidR="00B466E4" w:rsidRPr="00B466E4">
        <w:rPr>
          <w:rFonts w:ascii="Times New Roman" w:hAnsi="Times New Roman" w:cs="Times New Roman"/>
          <w:sz w:val="24"/>
          <w:szCs w:val="24"/>
        </w:rPr>
        <w:t>άρση</w:t>
      </w:r>
      <w:r w:rsidR="000428DB" w:rsidRPr="00B466E4">
        <w:rPr>
          <w:rFonts w:ascii="Times New Roman" w:hAnsi="Times New Roman" w:cs="Times New Roman"/>
          <w:sz w:val="24"/>
          <w:szCs w:val="24"/>
        </w:rPr>
        <w:t xml:space="preserve"> των περιορισμών. </w:t>
      </w:r>
      <w:r w:rsidR="0091560F" w:rsidRPr="00B466E4">
        <w:rPr>
          <w:rFonts w:ascii="Times New Roman" w:hAnsi="Times New Roman" w:cs="Times New Roman"/>
          <w:sz w:val="24"/>
          <w:szCs w:val="24"/>
        </w:rPr>
        <w:t xml:space="preserve">Ωστόσο η </w:t>
      </w:r>
      <w:r w:rsidR="00B466E4" w:rsidRPr="00B466E4">
        <w:rPr>
          <w:rFonts w:ascii="Times New Roman" w:hAnsi="Times New Roman" w:cs="Times New Roman"/>
          <w:sz w:val="24"/>
          <w:szCs w:val="24"/>
        </w:rPr>
        <w:t xml:space="preserve">σημαντική αυτή </w:t>
      </w:r>
      <w:r w:rsidR="0091560F" w:rsidRPr="00B466E4">
        <w:rPr>
          <w:rFonts w:ascii="Times New Roman" w:hAnsi="Times New Roman" w:cs="Times New Roman"/>
          <w:sz w:val="24"/>
          <w:szCs w:val="24"/>
        </w:rPr>
        <w:t>βελτίωση</w:t>
      </w:r>
      <w:r w:rsidR="00B466E4">
        <w:rPr>
          <w:rFonts w:ascii="Times New Roman" w:hAnsi="Times New Roman" w:cs="Times New Roman"/>
          <w:sz w:val="24"/>
          <w:szCs w:val="24"/>
        </w:rPr>
        <w:t>,</w:t>
      </w:r>
      <w:r w:rsidR="0091560F" w:rsidRPr="00B466E4">
        <w:rPr>
          <w:rFonts w:ascii="Times New Roman" w:hAnsi="Times New Roman" w:cs="Times New Roman"/>
          <w:sz w:val="24"/>
          <w:szCs w:val="24"/>
        </w:rPr>
        <w:t xml:space="preserve"> </w:t>
      </w:r>
      <w:r w:rsidR="00B466E4" w:rsidRPr="00B466E4">
        <w:rPr>
          <w:rFonts w:ascii="Times New Roman" w:hAnsi="Times New Roman" w:cs="Times New Roman"/>
          <w:sz w:val="24"/>
          <w:szCs w:val="24"/>
        </w:rPr>
        <w:t>όπως προαναφέρθηκε</w:t>
      </w:r>
      <w:r w:rsidR="00B466E4">
        <w:rPr>
          <w:rFonts w:ascii="Times New Roman" w:hAnsi="Times New Roman" w:cs="Times New Roman"/>
          <w:sz w:val="24"/>
          <w:szCs w:val="24"/>
        </w:rPr>
        <w:t>,</w:t>
      </w:r>
      <w:r w:rsidR="00B466E4" w:rsidRPr="00B466E4">
        <w:rPr>
          <w:rFonts w:ascii="Times New Roman" w:hAnsi="Times New Roman" w:cs="Times New Roman"/>
          <w:sz w:val="24"/>
          <w:szCs w:val="24"/>
        </w:rPr>
        <w:t xml:space="preserve"> δεν είναι </w:t>
      </w:r>
      <w:r w:rsidR="00B466E4" w:rsidRPr="000815D3">
        <w:rPr>
          <w:rFonts w:ascii="Times New Roman" w:hAnsi="Times New Roman" w:cs="Times New Roman"/>
          <w:color w:val="FF0000"/>
          <w:sz w:val="24"/>
          <w:szCs w:val="24"/>
        </w:rPr>
        <w:t>ισομερ</w:t>
      </w:r>
      <w:r w:rsidR="00B84D9C" w:rsidRPr="000815D3">
        <w:rPr>
          <w:rFonts w:ascii="Times New Roman" w:hAnsi="Times New Roman" w:cs="Times New Roman"/>
          <w:color w:val="FF0000"/>
          <w:sz w:val="24"/>
          <w:szCs w:val="24"/>
        </w:rPr>
        <w:t>ή</w:t>
      </w:r>
      <w:r w:rsidR="00B466E4" w:rsidRPr="000815D3">
        <w:rPr>
          <w:rFonts w:ascii="Times New Roman" w:hAnsi="Times New Roman" w:cs="Times New Roman"/>
          <w:color w:val="FF0000"/>
          <w:sz w:val="24"/>
          <w:szCs w:val="24"/>
        </w:rPr>
        <w:t>ς.</w:t>
      </w:r>
      <w:r w:rsidR="00B466E4" w:rsidRPr="00B466E4">
        <w:rPr>
          <w:rFonts w:ascii="Times New Roman" w:hAnsi="Times New Roman" w:cs="Times New Roman"/>
          <w:sz w:val="24"/>
          <w:szCs w:val="24"/>
        </w:rPr>
        <w:t xml:space="preserve"> Η πλειονότητα των επιχειρήσεων συνεχίζει και για το Α εξάμηνο του 2021 να καταγράφει απώλειες στο κύκλο εργασιών</w:t>
      </w:r>
      <w:r w:rsidR="00B466E4">
        <w:rPr>
          <w:rFonts w:ascii="Times New Roman" w:hAnsi="Times New Roman" w:cs="Times New Roman"/>
          <w:sz w:val="24"/>
          <w:szCs w:val="24"/>
        </w:rPr>
        <w:t xml:space="preserve">, </w:t>
      </w:r>
      <w:r w:rsidR="007720A9">
        <w:rPr>
          <w:rFonts w:ascii="Times New Roman" w:hAnsi="Times New Roman" w:cs="Times New Roman"/>
          <w:sz w:val="24"/>
          <w:szCs w:val="24"/>
        </w:rPr>
        <w:t xml:space="preserve">με τις μεγαλύτερες συγκεντρώσεις να καταγράφονται στις επιχειρήσεις που ανέστειλαν τη λειτουργία τους με κρατική εντολή. Οι επιχειρήσεις δηλαδή που είχαν τη μεγαλύτερη ανάγκη οικονομικής στήριξης φαίνεται πως είναι και εκείνες που συνεχίζουν να βρίσκονται σε ιδιαίτερα δυσμενή θέση. </w:t>
      </w:r>
    </w:p>
    <w:p w14:paraId="53640B55" w14:textId="58CDEF9A" w:rsidR="00F27411" w:rsidRDefault="00F27411" w:rsidP="00906C6F">
      <w:pPr>
        <w:spacing w:after="0" w:line="360" w:lineRule="auto"/>
        <w:jc w:val="both"/>
        <w:rPr>
          <w:rFonts w:ascii="Times New Roman" w:hAnsi="Times New Roman" w:cs="Times New Roman"/>
          <w:sz w:val="24"/>
          <w:szCs w:val="24"/>
        </w:rPr>
      </w:pPr>
      <w:r>
        <w:rPr>
          <w:noProof/>
          <w:lang w:val="en-US"/>
        </w:rPr>
        <w:drawing>
          <wp:inline distT="0" distB="0" distL="0" distR="0" wp14:anchorId="6F6DC521" wp14:editId="22DB313E">
            <wp:extent cx="6570980" cy="2209800"/>
            <wp:effectExtent l="0" t="0" r="1270" b="0"/>
            <wp:docPr id="36" name="Γράφημα 3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09B2D1" w14:textId="29FDDACF" w:rsidR="00A9257F" w:rsidRPr="00E36734" w:rsidRDefault="00820ED0" w:rsidP="00906C6F">
      <w:pPr>
        <w:spacing w:after="0" w:line="360" w:lineRule="auto"/>
        <w:jc w:val="both"/>
        <w:rPr>
          <w:rFonts w:ascii="Times New Roman" w:hAnsi="Times New Roman" w:cs="Times New Roman"/>
          <w:sz w:val="24"/>
          <w:szCs w:val="24"/>
        </w:rPr>
      </w:pPr>
      <w:bookmarkStart w:id="2" w:name="_Hlk68074605"/>
      <w:r>
        <w:rPr>
          <w:rFonts w:ascii="Times New Roman" w:hAnsi="Times New Roman" w:cs="Times New Roman"/>
          <w:sz w:val="24"/>
          <w:szCs w:val="24"/>
        </w:rPr>
        <w:lastRenderedPageBreak/>
        <w:t>Π</w:t>
      </w:r>
      <w:r w:rsidR="00B466E4" w:rsidRPr="00B466E4">
        <w:rPr>
          <w:rFonts w:ascii="Times New Roman" w:hAnsi="Times New Roman" w:cs="Times New Roman"/>
          <w:sz w:val="24"/>
          <w:szCs w:val="24"/>
        </w:rPr>
        <w:t>ερισσότερες από 5</w:t>
      </w:r>
      <w:r w:rsidR="00515537" w:rsidRPr="00B466E4">
        <w:rPr>
          <w:rFonts w:ascii="Times New Roman" w:hAnsi="Times New Roman" w:cs="Times New Roman"/>
          <w:sz w:val="24"/>
          <w:szCs w:val="24"/>
        </w:rPr>
        <w:t xml:space="preserve"> στις 10 επιχειρήσεις (</w:t>
      </w:r>
      <w:r w:rsidR="00B466E4" w:rsidRPr="00B466E4">
        <w:rPr>
          <w:rFonts w:ascii="Times New Roman" w:hAnsi="Times New Roman" w:cs="Times New Roman"/>
          <w:sz w:val="24"/>
          <w:szCs w:val="24"/>
        </w:rPr>
        <w:t>50</w:t>
      </w:r>
      <w:r w:rsidR="00515537" w:rsidRPr="00B466E4">
        <w:rPr>
          <w:rFonts w:ascii="Times New Roman" w:hAnsi="Times New Roman" w:cs="Times New Roman"/>
          <w:sz w:val="24"/>
          <w:szCs w:val="24"/>
        </w:rPr>
        <w:t>,</w:t>
      </w:r>
      <w:r w:rsidR="00B466E4" w:rsidRPr="00B466E4">
        <w:rPr>
          <w:rFonts w:ascii="Times New Roman" w:hAnsi="Times New Roman" w:cs="Times New Roman"/>
          <w:sz w:val="24"/>
          <w:szCs w:val="24"/>
        </w:rPr>
        <w:t>5</w:t>
      </w:r>
      <w:r w:rsidR="00515537" w:rsidRPr="00B466E4">
        <w:rPr>
          <w:rFonts w:ascii="Times New Roman" w:hAnsi="Times New Roman" w:cs="Times New Roman"/>
          <w:sz w:val="24"/>
          <w:szCs w:val="24"/>
        </w:rPr>
        <w:t xml:space="preserve">%) δήλωσαν πως το </w:t>
      </w:r>
      <w:r w:rsidR="00B466E4" w:rsidRPr="00B466E4">
        <w:rPr>
          <w:rFonts w:ascii="Times New Roman" w:hAnsi="Times New Roman" w:cs="Times New Roman"/>
          <w:sz w:val="24"/>
          <w:szCs w:val="24"/>
        </w:rPr>
        <w:t>Α</w:t>
      </w:r>
      <w:r w:rsidR="00B84D9C">
        <w:rPr>
          <w:rFonts w:ascii="Times New Roman" w:hAnsi="Times New Roman" w:cs="Times New Roman"/>
          <w:sz w:val="24"/>
          <w:szCs w:val="24"/>
        </w:rPr>
        <w:t>’</w:t>
      </w:r>
      <w:r w:rsidR="00515537" w:rsidRPr="00B466E4">
        <w:rPr>
          <w:rFonts w:ascii="Times New Roman" w:hAnsi="Times New Roman" w:cs="Times New Roman"/>
          <w:sz w:val="24"/>
          <w:szCs w:val="24"/>
        </w:rPr>
        <w:t xml:space="preserve"> εξάμηνο του 202</w:t>
      </w:r>
      <w:r w:rsidR="00B466E4" w:rsidRPr="00B466E4">
        <w:rPr>
          <w:rFonts w:ascii="Times New Roman" w:hAnsi="Times New Roman" w:cs="Times New Roman"/>
          <w:sz w:val="24"/>
          <w:szCs w:val="24"/>
        </w:rPr>
        <w:t>1</w:t>
      </w:r>
      <w:r w:rsidR="00515537" w:rsidRPr="00B466E4">
        <w:rPr>
          <w:rFonts w:ascii="Times New Roman" w:hAnsi="Times New Roman" w:cs="Times New Roman"/>
          <w:sz w:val="24"/>
          <w:szCs w:val="24"/>
        </w:rPr>
        <w:t xml:space="preserve"> μειώθηκε ο τζίρος </w:t>
      </w:r>
      <w:r w:rsidR="008D6D7E">
        <w:rPr>
          <w:rFonts w:ascii="Times New Roman" w:hAnsi="Times New Roman" w:cs="Times New Roman"/>
          <w:sz w:val="24"/>
          <w:szCs w:val="24"/>
        </w:rPr>
        <w:t xml:space="preserve">τους </w:t>
      </w:r>
      <w:r w:rsidR="00515537" w:rsidRPr="00B466E4">
        <w:rPr>
          <w:rFonts w:ascii="Times New Roman" w:hAnsi="Times New Roman" w:cs="Times New Roman"/>
          <w:sz w:val="24"/>
          <w:szCs w:val="24"/>
        </w:rPr>
        <w:t xml:space="preserve">έναντι του </w:t>
      </w:r>
      <w:r w:rsidR="00B466E4" w:rsidRPr="00B466E4">
        <w:rPr>
          <w:rFonts w:ascii="Times New Roman" w:hAnsi="Times New Roman" w:cs="Times New Roman"/>
          <w:sz w:val="24"/>
          <w:szCs w:val="24"/>
        </w:rPr>
        <w:t>20</w:t>
      </w:r>
      <w:r w:rsidR="00515537" w:rsidRPr="00B466E4">
        <w:rPr>
          <w:rFonts w:ascii="Times New Roman" w:hAnsi="Times New Roman" w:cs="Times New Roman"/>
          <w:sz w:val="24"/>
          <w:szCs w:val="24"/>
        </w:rPr>
        <w:t xml:space="preserve">% που δήλωσε πως αυξήθηκε και του </w:t>
      </w:r>
      <w:r w:rsidR="00B466E4" w:rsidRPr="00B466E4">
        <w:rPr>
          <w:rFonts w:ascii="Times New Roman" w:hAnsi="Times New Roman" w:cs="Times New Roman"/>
          <w:sz w:val="24"/>
          <w:szCs w:val="24"/>
        </w:rPr>
        <w:t>23</w:t>
      </w:r>
      <w:r w:rsidR="00515537" w:rsidRPr="00B466E4">
        <w:rPr>
          <w:rFonts w:ascii="Times New Roman" w:hAnsi="Times New Roman" w:cs="Times New Roman"/>
          <w:sz w:val="24"/>
          <w:szCs w:val="24"/>
        </w:rPr>
        <w:t>% που δήλωσε πως παρέμεινε αμετάβλητος</w:t>
      </w:r>
      <w:bookmarkEnd w:id="2"/>
      <w:r w:rsidR="00906C6F" w:rsidRPr="00B466E4">
        <w:rPr>
          <w:rFonts w:ascii="Times New Roman" w:hAnsi="Times New Roman" w:cs="Times New Roman"/>
          <w:sz w:val="24"/>
          <w:szCs w:val="24"/>
        </w:rPr>
        <w:t xml:space="preserve"> (Γράφημα </w:t>
      </w:r>
      <w:r w:rsidR="00B466E4" w:rsidRPr="00B466E4">
        <w:rPr>
          <w:rFonts w:ascii="Times New Roman" w:hAnsi="Times New Roman" w:cs="Times New Roman"/>
          <w:sz w:val="24"/>
          <w:szCs w:val="24"/>
        </w:rPr>
        <w:t>5</w:t>
      </w:r>
      <w:r w:rsidR="00906C6F" w:rsidRPr="00B466E4">
        <w:rPr>
          <w:rFonts w:ascii="Times New Roman" w:hAnsi="Times New Roman" w:cs="Times New Roman"/>
          <w:sz w:val="24"/>
          <w:szCs w:val="24"/>
        </w:rPr>
        <w:t>).</w:t>
      </w:r>
      <w:r w:rsidR="00A9257F" w:rsidRPr="00E36734">
        <w:rPr>
          <w:rFonts w:ascii="Times New Roman" w:hAnsi="Times New Roman" w:cs="Times New Roman"/>
          <w:sz w:val="24"/>
          <w:szCs w:val="24"/>
        </w:rPr>
        <w:t xml:space="preserve"> </w:t>
      </w:r>
    </w:p>
    <w:p w14:paraId="38AA6029" w14:textId="67DE3970" w:rsidR="00F27411" w:rsidRPr="00E36734" w:rsidRDefault="00F27411" w:rsidP="00F27411">
      <w:pPr>
        <w:spacing w:after="0" w:line="360" w:lineRule="auto"/>
        <w:ind w:firstLine="360"/>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Γράφημα </w:t>
      </w:r>
      <w:r>
        <w:rPr>
          <w:rFonts w:ascii="Times New Roman" w:eastAsia="Times New Roman" w:hAnsi="Times New Roman" w:cs="Times New Roman"/>
          <w:b/>
          <w:sz w:val="24"/>
          <w:szCs w:val="24"/>
          <w:lang w:eastAsia="el-GR"/>
        </w:rPr>
        <w:t>5</w:t>
      </w:r>
    </w:p>
    <w:p w14:paraId="113DC56E" w14:textId="3E97156E" w:rsidR="00F27411" w:rsidRPr="00F27411" w:rsidRDefault="00F27411" w:rsidP="00F27411">
      <w:pPr>
        <w:spacing w:after="0" w:line="360" w:lineRule="auto"/>
        <w:jc w:val="both"/>
        <w:rPr>
          <w:rFonts w:ascii="Times New Roman" w:eastAsia="Times New Roman" w:hAnsi="Times New Roman" w:cs="Times New Roman"/>
          <w:b/>
          <w:bCs/>
          <w:sz w:val="24"/>
          <w:szCs w:val="24"/>
          <w:lang w:eastAsia="el-GR"/>
        </w:rPr>
      </w:pPr>
      <w:r w:rsidRPr="00F27411">
        <w:rPr>
          <w:rFonts w:ascii="Times New Roman" w:eastAsia="Times New Roman" w:hAnsi="Times New Roman" w:cs="Times New Roman"/>
          <w:b/>
          <w:bCs/>
          <w:sz w:val="24"/>
          <w:szCs w:val="24"/>
          <w:lang w:eastAsia="el-GR"/>
        </w:rPr>
        <w:t xml:space="preserve">Θα ήθελα να μου πείτε εάν το </w:t>
      </w:r>
      <w:r>
        <w:rPr>
          <w:rFonts w:ascii="Times New Roman" w:eastAsia="Times New Roman" w:hAnsi="Times New Roman" w:cs="Times New Roman"/>
          <w:b/>
          <w:bCs/>
          <w:sz w:val="24"/>
          <w:szCs w:val="24"/>
          <w:lang w:eastAsia="el-GR"/>
        </w:rPr>
        <w:t>πρώτο</w:t>
      </w:r>
      <w:r w:rsidRPr="00F27411">
        <w:rPr>
          <w:rFonts w:ascii="Times New Roman" w:eastAsia="Times New Roman" w:hAnsi="Times New Roman" w:cs="Times New Roman"/>
          <w:b/>
          <w:bCs/>
          <w:sz w:val="24"/>
          <w:szCs w:val="24"/>
          <w:lang w:eastAsia="el-GR"/>
        </w:rPr>
        <w:t xml:space="preserve"> εξάμηνο του 202</w:t>
      </w:r>
      <w:r>
        <w:rPr>
          <w:rFonts w:ascii="Times New Roman" w:eastAsia="Times New Roman" w:hAnsi="Times New Roman" w:cs="Times New Roman"/>
          <w:b/>
          <w:bCs/>
          <w:sz w:val="24"/>
          <w:szCs w:val="24"/>
          <w:lang w:eastAsia="el-GR"/>
        </w:rPr>
        <w:t>1</w:t>
      </w:r>
      <w:r w:rsidRPr="00F27411">
        <w:rPr>
          <w:rFonts w:ascii="Times New Roman" w:eastAsia="Times New Roman" w:hAnsi="Times New Roman" w:cs="Times New Roman"/>
          <w:b/>
          <w:bCs/>
          <w:sz w:val="24"/>
          <w:szCs w:val="24"/>
          <w:lang w:eastAsia="el-GR"/>
        </w:rPr>
        <w:t>, αυξήθηκε, μειώθηκε ή παρέμεινε αμετάβλητος ο κύκλος εργασιών (τζίρος) της επιχείρησής σας:</w:t>
      </w:r>
    </w:p>
    <w:p w14:paraId="751DBD69" w14:textId="77777777" w:rsidR="00A9257F" w:rsidRPr="00E36734" w:rsidRDefault="00A9257F" w:rsidP="00761263">
      <w:pPr>
        <w:spacing w:after="0" w:line="360" w:lineRule="auto"/>
        <w:jc w:val="both"/>
        <w:rPr>
          <w:rFonts w:ascii="Times New Roman" w:hAnsi="Times New Roman" w:cs="Times New Roman"/>
          <w:sz w:val="24"/>
          <w:szCs w:val="24"/>
        </w:rPr>
      </w:pPr>
    </w:p>
    <w:p w14:paraId="24E68993" w14:textId="7631CF48" w:rsidR="00F37328" w:rsidRPr="00E36734" w:rsidRDefault="00F27411" w:rsidP="00ED02ED">
      <w:pPr>
        <w:spacing w:after="0" w:line="360" w:lineRule="auto"/>
        <w:jc w:val="center"/>
        <w:rPr>
          <w:rFonts w:ascii="Times New Roman" w:hAnsi="Times New Roman" w:cs="Times New Roman"/>
          <w:noProof/>
          <w:sz w:val="24"/>
          <w:szCs w:val="24"/>
          <w:lang w:eastAsia="el-GR"/>
        </w:rPr>
      </w:pPr>
      <w:r w:rsidRPr="00F27411">
        <w:rPr>
          <w:rFonts w:ascii="Times New Roman" w:hAnsi="Times New Roman" w:cs="Times New Roman"/>
          <w:noProof/>
          <w:sz w:val="24"/>
          <w:szCs w:val="24"/>
          <w:lang w:val="en-US"/>
        </w:rPr>
        <w:drawing>
          <wp:inline distT="0" distB="0" distL="0" distR="0" wp14:anchorId="6FE9FE54" wp14:editId="70B9F0F0">
            <wp:extent cx="6264275" cy="2880360"/>
            <wp:effectExtent l="0" t="0" r="3175" b="15240"/>
            <wp:docPr id="37" name="Γράφημα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7C0285" w14:textId="0F799198" w:rsidR="00515537" w:rsidRPr="00E36734" w:rsidRDefault="00515537" w:rsidP="00761263">
      <w:pPr>
        <w:spacing w:after="0" w:line="360" w:lineRule="auto"/>
        <w:jc w:val="both"/>
        <w:rPr>
          <w:rFonts w:ascii="Times New Roman" w:hAnsi="Times New Roman" w:cs="Times New Roman"/>
          <w:noProof/>
          <w:sz w:val="24"/>
          <w:szCs w:val="24"/>
          <w:lang w:eastAsia="el-GR"/>
        </w:rPr>
      </w:pPr>
    </w:p>
    <w:p w14:paraId="49A75B1D" w14:textId="17E1FF17" w:rsidR="00D95643" w:rsidRPr="00B466E4" w:rsidRDefault="00515537" w:rsidP="00761263">
      <w:pPr>
        <w:spacing w:after="0" w:line="360" w:lineRule="auto"/>
        <w:jc w:val="both"/>
        <w:rPr>
          <w:rFonts w:ascii="Times New Roman" w:hAnsi="Times New Roman" w:cs="Times New Roman"/>
          <w:noProof/>
          <w:sz w:val="24"/>
          <w:szCs w:val="24"/>
          <w:lang w:eastAsia="el-GR"/>
        </w:rPr>
      </w:pPr>
      <w:r w:rsidRPr="00B466E4">
        <w:rPr>
          <w:rFonts w:ascii="Times New Roman" w:hAnsi="Times New Roman" w:cs="Times New Roman"/>
          <w:noProof/>
          <w:sz w:val="24"/>
          <w:szCs w:val="24"/>
          <w:lang w:eastAsia="el-GR"/>
        </w:rPr>
        <w:t>Στα επιμέρους στοιχεία</w:t>
      </w:r>
      <w:r w:rsidR="00381DA0">
        <w:rPr>
          <w:rFonts w:ascii="Times New Roman" w:hAnsi="Times New Roman" w:cs="Times New Roman"/>
          <w:noProof/>
          <w:sz w:val="24"/>
          <w:szCs w:val="24"/>
          <w:lang w:eastAsia="el-GR"/>
        </w:rPr>
        <w:t>,</w:t>
      </w:r>
      <w:r w:rsidRPr="00B466E4">
        <w:rPr>
          <w:rFonts w:ascii="Times New Roman" w:hAnsi="Times New Roman" w:cs="Times New Roman"/>
          <w:noProof/>
          <w:sz w:val="24"/>
          <w:szCs w:val="24"/>
          <w:lang w:eastAsia="el-GR"/>
        </w:rPr>
        <w:t xml:space="preserve"> οι χειρότερες επιδόσεις καταγράφονται στον κλάδο των υπηρεσιών (</w:t>
      </w:r>
      <w:r w:rsidR="00B466E4" w:rsidRPr="00B466E4">
        <w:rPr>
          <w:rFonts w:ascii="Times New Roman" w:hAnsi="Times New Roman" w:cs="Times New Roman"/>
          <w:noProof/>
          <w:sz w:val="24"/>
          <w:szCs w:val="24"/>
          <w:lang w:eastAsia="el-GR"/>
        </w:rPr>
        <w:t>58,5</w:t>
      </w:r>
      <w:r w:rsidRPr="00B466E4">
        <w:rPr>
          <w:rFonts w:ascii="Times New Roman" w:hAnsi="Times New Roman" w:cs="Times New Roman"/>
          <w:noProof/>
          <w:sz w:val="24"/>
          <w:szCs w:val="24"/>
          <w:lang w:eastAsia="el-GR"/>
        </w:rPr>
        <w:t>%</w:t>
      </w:r>
      <w:r w:rsidR="00B466E4" w:rsidRPr="00B466E4">
        <w:rPr>
          <w:rFonts w:ascii="Times New Roman" w:hAnsi="Times New Roman" w:cs="Times New Roman"/>
          <w:noProof/>
          <w:sz w:val="24"/>
          <w:szCs w:val="24"/>
          <w:lang w:eastAsia="el-GR"/>
        </w:rPr>
        <w:t xml:space="preserve"> δήλωσε μείωση του τζίρου</w:t>
      </w:r>
      <w:r w:rsidRPr="00B466E4">
        <w:rPr>
          <w:rFonts w:ascii="Times New Roman" w:hAnsi="Times New Roman" w:cs="Times New Roman"/>
          <w:noProof/>
          <w:sz w:val="24"/>
          <w:szCs w:val="24"/>
          <w:lang w:eastAsia="el-GR"/>
        </w:rPr>
        <w:t>), στις επιχειρ</w:t>
      </w:r>
      <w:r w:rsidR="00295BAA" w:rsidRPr="00B466E4">
        <w:rPr>
          <w:rFonts w:ascii="Times New Roman" w:hAnsi="Times New Roman" w:cs="Times New Roman"/>
          <w:noProof/>
          <w:sz w:val="24"/>
          <w:szCs w:val="24"/>
          <w:lang w:eastAsia="el-GR"/>
        </w:rPr>
        <w:t>ή</w:t>
      </w:r>
      <w:r w:rsidRPr="00B466E4">
        <w:rPr>
          <w:rFonts w:ascii="Times New Roman" w:hAnsi="Times New Roman" w:cs="Times New Roman"/>
          <w:noProof/>
          <w:sz w:val="24"/>
          <w:szCs w:val="24"/>
          <w:lang w:eastAsia="el-GR"/>
        </w:rPr>
        <w:t>σε</w:t>
      </w:r>
      <w:r w:rsidR="00295BAA" w:rsidRPr="00B466E4">
        <w:rPr>
          <w:rFonts w:ascii="Times New Roman" w:hAnsi="Times New Roman" w:cs="Times New Roman"/>
          <w:noProof/>
          <w:sz w:val="24"/>
          <w:szCs w:val="24"/>
          <w:lang w:eastAsia="el-GR"/>
        </w:rPr>
        <w:t>ι</w:t>
      </w:r>
      <w:r w:rsidRPr="00B466E4">
        <w:rPr>
          <w:rFonts w:ascii="Times New Roman" w:hAnsi="Times New Roman" w:cs="Times New Roman"/>
          <w:noProof/>
          <w:sz w:val="24"/>
          <w:szCs w:val="24"/>
          <w:lang w:eastAsia="el-GR"/>
        </w:rPr>
        <w:t xml:space="preserve">ς με τζίρο </w:t>
      </w:r>
      <w:r w:rsidR="00DB4D1C" w:rsidRPr="00B466E4">
        <w:rPr>
          <w:rFonts w:ascii="Times New Roman" w:hAnsi="Times New Roman" w:cs="Times New Roman"/>
          <w:noProof/>
          <w:sz w:val="24"/>
          <w:szCs w:val="24"/>
          <w:lang w:eastAsia="el-GR"/>
        </w:rPr>
        <w:t>κάτω από</w:t>
      </w:r>
      <w:r w:rsidRPr="00B466E4">
        <w:rPr>
          <w:rFonts w:ascii="Times New Roman" w:hAnsi="Times New Roman" w:cs="Times New Roman"/>
          <w:noProof/>
          <w:sz w:val="24"/>
          <w:szCs w:val="24"/>
          <w:lang w:eastAsia="el-GR"/>
        </w:rPr>
        <w:t xml:space="preserve"> 50.000 € (</w:t>
      </w:r>
      <w:r w:rsidR="00B466E4" w:rsidRPr="00B466E4">
        <w:rPr>
          <w:rFonts w:ascii="Times New Roman" w:hAnsi="Times New Roman" w:cs="Times New Roman"/>
          <w:noProof/>
          <w:sz w:val="24"/>
          <w:szCs w:val="24"/>
          <w:lang w:eastAsia="el-GR"/>
        </w:rPr>
        <w:t>68,2</w:t>
      </w:r>
      <w:r w:rsidRPr="00B466E4">
        <w:rPr>
          <w:rFonts w:ascii="Times New Roman" w:hAnsi="Times New Roman" w:cs="Times New Roman"/>
          <w:noProof/>
          <w:sz w:val="24"/>
          <w:szCs w:val="24"/>
          <w:lang w:eastAsia="el-GR"/>
        </w:rPr>
        <w:t>%)</w:t>
      </w:r>
      <w:r w:rsidR="00B466E4" w:rsidRPr="00B466E4">
        <w:rPr>
          <w:rFonts w:ascii="Times New Roman" w:hAnsi="Times New Roman" w:cs="Times New Roman"/>
          <w:noProof/>
          <w:sz w:val="24"/>
          <w:szCs w:val="24"/>
          <w:lang w:eastAsia="el-GR"/>
        </w:rPr>
        <w:t xml:space="preserve"> και </w:t>
      </w:r>
      <w:r w:rsidR="00D95643" w:rsidRPr="00B466E4">
        <w:rPr>
          <w:rFonts w:ascii="Times New Roman" w:hAnsi="Times New Roman" w:cs="Times New Roman"/>
          <w:noProof/>
          <w:sz w:val="24"/>
          <w:szCs w:val="24"/>
          <w:lang w:eastAsia="el-GR"/>
        </w:rPr>
        <w:t>στις επιχειρήσεις χωρίς προσωπικό (</w:t>
      </w:r>
      <w:r w:rsidR="00B466E4" w:rsidRPr="00B466E4">
        <w:rPr>
          <w:rFonts w:ascii="Times New Roman" w:hAnsi="Times New Roman" w:cs="Times New Roman"/>
          <w:noProof/>
          <w:sz w:val="24"/>
          <w:szCs w:val="24"/>
          <w:lang w:eastAsia="el-GR"/>
        </w:rPr>
        <w:t>65,7%)</w:t>
      </w:r>
      <w:r w:rsidR="00D95643" w:rsidRPr="00B466E4">
        <w:rPr>
          <w:rFonts w:ascii="Times New Roman" w:hAnsi="Times New Roman" w:cs="Times New Roman"/>
          <w:noProof/>
          <w:sz w:val="24"/>
          <w:szCs w:val="24"/>
          <w:lang w:eastAsia="el-GR"/>
        </w:rPr>
        <w:t>.</w:t>
      </w:r>
      <w:r w:rsidR="00B466E4" w:rsidRPr="00B466E4">
        <w:rPr>
          <w:rFonts w:ascii="Times New Roman" w:hAnsi="Times New Roman" w:cs="Times New Roman"/>
          <w:noProof/>
          <w:sz w:val="24"/>
          <w:szCs w:val="24"/>
          <w:lang w:eastAsia="el-GR"/>
        </w:rPr>
        <w:t xml:space="preserve"> </w:t>
      </w:r>
      <w:r w:rsidR="00D95643" w:rsidRPr="00B466E4">
        <w:rPr>
          <w:rFonts w:ascii="Times New Roman" w:hAnsi="Times New Roman" w:cs="Times New Roman"/>
          <w:noProof/>
          <w:sz w:val="24"/>
          <w:szCs w:val="24"/>
          <w:lang w:eastAsia="el-GR"/>
        </w:rPr>
        <w:t xml:space="preserve">Από την άλλη μεριά τις καλύτερες επιδόσεις παρουσιάζουν οι επιχειρήσεις με τζίρο πάνω από 300.000 € </w:t>
      </w:r>
      <w:r w:rsidR="00B466E4" w:rsidRPr="00B466E4">
        <w:rPr>
          <w:rFonts w:ascii="Times New Roman" w:hAnsi="Times New Roman" w:cs="Times New Roman"/>
          <w:noProof/>
          <w:sz w:val="24"/>
          <w:szCs w:val="24"/>
          <w:lang w:eastAsia="el-GR"/>
        </w:rPr>
        <w:t xml:space="preserve">(40,7% δήλωσε αυξηση του τζίρου) </w:t>
      </w:r>
      <w:r w:rsidR="00D95643" w:rsidRPr="00B466E4">
        <w:rPr>
          <w:rFonts w:ascii="Times New Roman" w:hAnsi="Times New Roman" w:cs="Times New Roman"/>
          <w:noProof/>
          <w:sz w:val="24"/>
          <w:szCs w:val="24"/>
          <w:lang w:eastAsia="el-GR"/>
        </w:rPr>
        <w:t xml:space="preserve">και οι επιχειρήσεις με πάνω από 5 </w:t>
      </w:r>
      <w:r w:rsidR="00295BAA" w:rsidRPr="00B466E4">
        <w:rPr>
          <w:rFonts w:ascii="Times New Roman" w:hAnsi="Times New Roman" w:cs="Times New Roman"/>
          <w:noProof/>
          <w:sz w:val="24"/>
          <w:szCs w:val="24"/>
          <w:lang w:eastAsia="el-GR"/>
        </w:rPr>
        <w:t>ά</w:t>
      </w:r>
      <w:r w:rsidR="00D95643" w:rsidRPr="00B466E4">
        <w:rPr>
          <w:rFonts w:ascii="Times New Roman" w:hAnsi="Times New Roman" w:cs="Times New Roman"/>
          <w:noProof/>
          <w:sz w:val="24"/>
          <w:szCs w:val="24"/>
          <w:lang w:eastAsia="el-GR"/>
        </w:rPr>
        <w:t>τομα προσωπικό</w:t>
      </w:r>
      <w:r w:rsidR="00B466E4" w:rsidRPr="00B466E4">
        <w:rPr>
          <w:rFonts w:ascii="Times New Roman" w:hAnsi="Times New Roman" w:cs="Times New Roman"/>
          <w:noProof/>
          <w:sz w:val="24"/>
          <w:szCs w:val="24"/>
          <w:lang w:eastAsia="el-GR"/>
        </w:rPr>
        <w:t xml:space="preserve"> (29,8%)</w:t>
      </w:r>
      <w:r w:rsidR="00D95643" w:rsidRPr="00B466E4">
        <w:rPr>
          <w:rFonts w:ascii="Times New Roman" w:hAnsi="Times New Roman" w:cs="Times New Roman"/>
          <w:noProof/>
          <w:sz w:val="24"/>
          <w:szCs w:val="24"/>
          <w:lang w:eastAsia="el-GR"/>
        </w:rPr>
        <w:t xml:space="preserve"> (Γράφημα </w:t>
      </w:r>
      <w:r w:rsidR="00B466E4" w:rsidRPr="00B466E4">
        <w:rPr>
          <w:rFonts w:ascii="Times New Roman" w:hAnsi="Times New Roman" w:cs="Times New Roman"/>
          <w:noProof/>
          <w:sz w:val="24"/>
          <w:szCs w:val="24"/>
          <w:lang w:eastAsia="el-GR"/>
        </w:rPr>
        <w:t>6</w:t>
      </w:r>
      <w:r w:rsidR="00D95643" w:rsidRPr="00B466E4">
        <w:rPr>
          <w:rFonts w:ascii="Times New Roman" w:hAnsi="Times New Roman" w:cs="Times New Roman"/>
          <w:noProof/>
          <w:sz w:val="24"/>
          <w:szCs w:val="24"/>
          <w:lang w:eastAsia="el-GR"/>
        </w:rPr>
        <w:t>)</w:t>
      </w:r>
      <w:r w:rsidR="00B466E4" w:rsidRPr="00B466E4">
        <w:rPr>
          <w:rFonts w:ascii="Times New Roman" w:hAnsi="Times New Roman" w:cs="Times New Roman"/>
          <w:noProof/>
          <w:sz w:val="24"/>
          <w:szCs w:val="24"/>
          <w:lang w:eastAsia="el-GR"/>
        </w:rPr>
        <w:t>.</w:t>
      </w:r>
    </w:p>
    <w:p w14:paraId="735B2855" w14:textId="258ED6C7" w:rsidR="00820ED0" w:rsidRPr="00E36734" w:rsidRDefault="00D95643" w:rsidP="00820ED0">
      <w:pPr>
        <w:spacing w:after="0" w:line="360" w:lineRule="auto"/>
        <w:jc w:val="both"/>
        <w:rPr>
          <w:rFonts w:ascii="Times New Roman" w:hAnsi="Times New Roman" w:cs="Times New Roman"/>
          <w:noProof/>
          <w:sz w:val="24"/>
          <w:szCs w:val="24"/>
          <w:lang w:eastAsia="el-GR"/>
        </w:rPr>
      </w:pPr>
      <w:bookmarkStart w:id="3" w:name="_Hlk68245775"/>
      <w:r w:rsidRPr="00B466E4">
        <w:rPr>
          <w:rFonts w:ascii="Times New Roman" w:hAnsi="Times New Roman" w:cs="Times New Roman"/>
          <w:noProof/>
          <w:sz w:val="24"/>
          <w:szCs w:val="24"/>
          <w:lang w:eastAsia="el-GR"/>
        </w:rPr>
        <w:t>Ιδιαίτερα δυσμενή</w:t>
      </w:r>
      <w:r w:rsidR="00B800A3" w:rsidRPr="00B466E4">
        <w:rPr>
          <w:rFonts w:ascii="Times New Roman" w:hAnsi="Times New Roman" w:cs="Times New Roman"/>
          <w:noProof/>
          <w:sz w:val="24"/>
          <w:szCs w:val="24"/>
          <w:lang w:eastAsia="el-GR"/>
        </w:rPr>
        <w:t>ς</w:t>
      </w:r>
      <w:r w:rsidRPr="00B466E4">
        <w:rPr>
          <w:rFonts w:ascii="Times New Roman" w:hAnsi="Times New Roman" w:cs="Times New Roman"/>
          <w:noProof/>
          <w:sz w:val="24"/>
          <w:szCs w:val="24"/>
          <w:lang w:eastAsia="el-GR"/>
        </w:rPr>
        <w:t xml:space="preserve"> είναι κατ</w:t>
      </w:r>
      <w:r w:rsidR="00655A77" w:rsidRPr="00B466E4">
        <w:rPr>
          <w:rFonts w:ascii="Times New Roman" w:hAnsi="Times New Roman" w:cs="Times New Roman"/>
          <w:noProof/>
          <w:sz w:val="24"/>
          <w:szCs w:val="24"/>
          <w:lang w:eastAsia="el-GR"/>
        </w:rPr>
        <w:t>ά</w:t>
      </w:r>
      <w:r w:rsidRPr="00B466E4">
        <w:rPr>
          <w:rFonts w:ascii="Times New Roman" w:hAnsi="Times New Roman" w:cs="Times New Roman"/>
          <w:noProof/>
          <w:sz w:val="24"/>
          <w:szCs w:val="24"/>
          <w:lang w:eastAsia="el-GR"/>
        </w:rPr>
        <w:t>σταση που καταγράφεται στις επιχειρήσεις που ανέστειλαν τη λειτουργία τους με κρατική εντολή</w:t>
      </w:r>
      <w:r w:rsidR="00B800A3" w:rsidRPr="00B466E4">
        <w:rPr>
          <w:rFonts w:ascii="Times New Roman" w:hAnsi="Times New Roman" w:cs="Times New Roman"/>
          <w:noProof/>
          <w:sz w:val="24"/>
          <w:szCs w:val="24"/>
          <w:lang w:eastAsia="el-GR"/>
        </w:rPr>
        <w:t>,</w:t>
      </w:r>
      <w:r w:rsidRPr="00B466E4">
        <w:rPr>
          <w:rFonts w:ascii="Times New Roman" w:hAnsi="Times New Roman" w:cs="Times New Roman"/>
          <w:noProof/>
          <w:sz w:val="24"/>
          <w:szCs w:val="24"/>
          <w:lang w:eastAsia="el-GR"/>
        </w:rPr>
        <w:t xml:space="preserve"> καθώς </w:t>
      </w:r>
      <w:r w:rsidR="00B466E4" w:rsidRPr="00B466E4">
        <w:rPr>
          <w:rFonts w:ascii="Times New Roman" w:hAnsi="Times New Roman" w:cs="Times New Roman"/>
          <w:noProof/>
          <w:sz w:val="24"/>
          <w:szCs w:val="24"/>
          <w:lang w:eastAsia="el-GR"/>
        </w:rPr>
        <w:t>7</w:t>
      </w:r>
      <w:r w:rsidRPr="00B466E4">
        <w:rPr>
          <w:rFonts w:ascii="Times New Roman" w:hAnsi="Times New Roman" w:cs="Times New Roman"/>
          <w:noProof/>
          <w:sz w:val="24"/>
          <w:szCs w:val="24"/>
          <w:lang w:eastAsia="el-GR"/>
        </w:rPr>
        <w:t xml:space="preserve"> στις 10 επιχειρήσεις</w:t>
      </w:r>
      <w:r w:rsidR="00B466E4" w:rsidRPr="00B466E4">
        <w:rPr>
          <w:rFonts w:ascii="Times New Roman" w:hAnsi="Times New Roman" w:cs="Times New Roman"/>
          <w:noProof/>
          <w:sz w:val="24"/>
          <w:szCs w:val="24"/>
          <w:lang w:eastAsia="el-GR"/>
        </w:rPr>
        <w:t xml:space="preserve"> (68,3)</w:t>
      </w:r>
      <w:r w:rsidRPr="00B466E4">
        <w:rPr>
          <w:rFonts w:ascii="Times New Roman" w:hAnsi="Times New Roman" w:cs="Times New Roman"/>
          <w:noProof/>
          <w:sz w:val="24"/>
          <w:szCs w:val="24"/>
          <w:lang w:eastAsia="el-GR"/>
        </w:rPr>
        <w:t xml:space="preserve"> δήλωσαν πως το </w:t>
      </w:r>
      <w:r w:rsidR="00B466E4" w:rsidRPr="00B466E4">
        <w:rPr>
          <w:rFonts w:ascii="Times New Roman" w:hAnsi="Times New Roman" w:cs="Times New Roman"/>
          <w:noProof/>
          <w:sz w:val="24"/>
          <w:szCs w:val="24"/>
          <w:lang w:eastAsia="el-GR"/>
        </w:rPr>
        <w:t>Α</w:t>
      </w:r>
      <w:r w:rsidR="00B84D9C">
        <w:rPr>
          <w:rFonts w:ascii="Times New Roman" w:hAnsi="Times New Roman" w:cs="Times New Roman"/>
          <w:noProof/>
          <w:sz w:val="24"/>
          <w:szCs w:val="24"/>
          <w:lang w:eastAsia="el-GR"/>
        </w:rPr>
        <w:t>’</w:t>
      </w:r>
      <w:r w:rsidRPr="00B466E4">
        <w:rPr>
          <w:rFonts w:ascii="Times New Roman" w:hAnsi="Times New Roman" w:cs="Times New Roman"/>
          <w:noProof/>
          <w:sz w:val="24"/>
          <w:szCs w:val="24"/>
          <w:lang w:eastAsia="el-GR"/>
        </w:rPr>
        <w:t xml:space="preserve"> εξ</w:t>
      </w:r>
      <w:r w:rsidR="00655A77" w:rsidRPr="00B466E4">
        <w:rPr>
          <w:rFonts w:ascii="Times New Roman" w:hAnsi="Times New Roman" w:cs="Times New Roman"/>
          <w:noProof/>
          <w:sz w:val="24"/>
          <w:szCs w:val="24"/>
          <w:lang w:eastAsia="el-GR"/>
        </w:rPr>
        <w:t>ά</w:t>
      </w:r>
      <w:r w:rsidRPr="00B466E4">
        <w:rPr>
          <w:rFonts w:ascii="Times New Roman" w:hAnsi="Times New Roman" w:cs="Times New Roman"/>
          <w:noProof/>
          <w:sz w:val="24"/>
          <w:szCs w:val="24"/>
          <w:lang w:eastAsia="el-GR"/>
        </w:rPr>
        <w:t>μηνο του 202</w:t>
      </w:r>
      <w:r w:rsidR="00B466E4" w:rsidRPr="00B466E4">
        <w:rPr>
          <w:rFonts w:ascii="Times New Roman" w:hAnsi="Times New Roman" w:cs="Times New Roman"/>
          <w:noProof/>
          <w:sz w:val="24"/>
          <w:szCs w:val="24"/>
          <w:lang w:eastAsia="el-GR"/>
        </w:rPr>
        <w:t>1</w:t>
      </w:r>
      <w:r w:rsidRPr="00B466E4">
        <w:rPr>
          <w:rFonts w:ascii="Times New Roman" w:hAnsi="Times New Roman" w:cs="Times New Roman"/>
          <w:noProof/>
          <w:sz w:val="24"/>
          <w:szCs w:val="24"/>
          <w:lang w:eastAsia="el-GR"/>
        </w:rPr>
        <w:t xml:space="preserve"> μειώθηκε ο τζ</w:t>
      </w:r>
      <w:r w:rsidR="00655A77" w:rsidRPr="00B466E4">
        <w:rPr>
          <w:rFonts w:ascii="Times New Roman" w:hAnsi="Times New Roman" w:cs="Times New Roman"/>
          <w:noProof/>
          <w:sz w:val="24"/>
          <w:szCs w:val="24"/>
          <w:lang w:eastAsia="el-GR"/>
        </w:rPr>
        <w:t>ί</w:t>
      </w:r>
      <w:r w:rsidRPr="00B466E4">
        <w:rPr>
          <w:rFonts w:ascii="Times New Roman" w:hAnsi="Times New Roman" w:cs="Times New Roman"/>
          <w:noProof/>
          <w:sz w:val="24"/>
          <w:szCs w:val="24"/>
          <w:lang w:eastAsia="el-GR"/>
        </w:rPr>
        <w:t>ρ</w:t>
      </w:r>
      <w:r w:rsidR="00655A77" w:rsidRPr="00B466E4">
        <w:rPr>
          <w:rFonts w:ascii="Times New Roman" w:hAnsi="Times New Roman" w:cs="Times New Roman"/>
          <w:noProof/>
          <w:sz w:val="24"/>
          <w:szCs w:val="24"/>
          <w:lang w:eastAsia="el-GR"/>
        </w:rPr>
        <w:t>ο</w:t>
      </w:r>
      <w:r w:rsidRPr="00B466E4">
        <w:rPr>
          <w:rFonts w:ascii="Times New Roman" w:hAnsi="Times New Roman" w:cs="Times New Roman"/>
          <w:noProof/>
          <w:sz w:val="24"/>
          <w:szCs w:val="24"/>
          <w:lang w:eastAsia="el-GR"/>
        </w:rPr>
        <w:t>ς</w:t>
      </w:r>
      <w:r w:rsidR="001F3396" w:rsidRPr="00B466E4">
        <w:rPr>
          <w:rFonts w:ascii="Times New Roman" w:hAnsi="Times New Roman" w:cs="Times New Roman"/>
          <w:noProof/>
          <w:sz w:val="24"/>
          <w:szCs w:val="24"/>
          <w:lang w:eastAsia="el-GR"/>
        </w:rPr>
        <w:t xml:space="preserve"> </w:t>
      </w:r>
      <w:r w:rsidR="00820ED0">
        <w:rPr>
          <w:rFonts w:ascii="Times New Roman" w:hAnsi="Times New Roman" w:cs="Times New Roman"/>
          <w:noProof/>
          <w:sz w:val="24"/>
          <w:szCs w:val="24"/>
          <w:lang w:eastAsia="el-GR"/>
        </w:rPr>
        <w:t>τους</w:t>
      </w:r>
      <w:bookmarkEnd w:id="3"/>
      <w:r w:rsidR="00820ED0">
        <w:rPr>
          <w:rFonts w:ascii="Times New Roman" w:hAnsi="Times New Roman" w:cs="Times New Roman"/>
          <w:noProof/>
          <w:sz w:val="24"/>
          <w:szCs w:val="24"/>
          <w:lang w:eastAsia="el-GR"/>
        </w:rPr>
        <w:t>.</w:t>
      </w:r>
    </w:p>
    <w:p w14:paraId="25DECA08" w14:textId="4DFCD7E3" w:rsidR="00D95643" w:rsidRDefault="00D95643" w:rsidP="00761263">
      <w:pPr>
        <w:spacing w:after="0" w:line="360" w:lineRule="auto"/>
        <w:jc w:val="both"/>
        <w:rPr>
          <w:rFonts w:ascii="Times New Roman" w:hAnsi="Times New Roman" w:cs="Times New Roman"/>
          <w:noProof/>
          <w:sz w:val="24"/>
          <w:szCs w:val="24"/>
          <w:lang w:eastAsia="el-GR"/>
        </w:rPr>
      </w:pPr>
    </w:p>
    <w:p w14:paraId="77F2FA6D" w14:textId="3F7E1511" w:rsidR="00045567" w:rsidRDefault="00045567" w:rsidP="00761263">
      <w:pPr>
        <w:spacing w:after="0" w:line="360" w:lineRule="auto"/>
        <w:jc w:val="both"/>
        <w:rPr>
          <w:rFonts w:ascii="Times New Roman" w:hAnsi="Times New Roman" w:cs="Times New Roman"/>
          <w:noProof/>
          <w:sz w:val="24"/>
          <w:szCs w:val="24"/>
          <w:lang w:eastAsia="el-GR"/>
        </w:rPr>
      </w:pPr>
    </w:p>
    <w:p w14:paraId="62FB158D" w14:textId="55769D09" w:rsidR="00045567" w:rsidRDefault="00045567" w:rsidP="00761263">
      <w:pPr>
        <w:spacing w:after="0" w:line="360" w:lineRule="auto"/>
        <w:jc w:val="both"/>
        <w:rPr>
          <w:rFonts w:ascii="Times New Roman" w:hAnsi="Times New Roman" w:cs="Times New Roman"/>
          <w:noProof/>
          <w:sz w:val="24"/>
          <w:szCs w:val="24"/>
          <w:lang w:eastAsia="el-GR"/>
        </w:rPr>
      </w:pPr>
    </w:p>
    <w:p w14:paraId="427341CE" w14:textId="5AB04603" w:rsidR="00045567" w:rsidRDefault="00045567" w:rsidP="00761263">
      <w:pPr>
        <w:spacing w:after="0" w:line="360" w:lineRule="auto"/>
        <w:jc w:val="both"/>
        <w:rPr>
          <w:rFonts w:ascii="Times New Roman" w:hAnsi="Times New Roman" w:cs="Times New Roman"/>
          <w:noProof/>
          <w:sz w:val="24"/>
          <w:szCs w:val="24"/>
          <w:lang w:eastAsia="el-GR"/>
        </w:rPr>
      </w:pPr>
    </w:p>
    <w:p w14:paraId="377ADA8D" w14:textId="66D79599" w:rsidR="00045567" w:rsidRDefault="00045567" w:rsidP="00761263">
      <w:pPr>
        <w:spacing w:after="0" w:line="360" w:lineRule="auto"/>
        <w:jc w:val="both"/>
        <w:rPr>
          <w:rFonts w:ascii="Times New Roman" w:hAnsi="Times New Roman" w:cs="Times New Roman"/>
          <w:noProof/>
          <w:sz w:val="24"/>
          <w:szCs w:val="24"/>
          <w:lang w:eastAsia="el-GR"/>
        </w:rPr>
      </w:pPr>
      <w:r>
        <w:rPr>
          <w:rFonts w:ascii="Times New Roman" w:hAnsi="Times New Roman" w:cs="Times New Roman"/>
          <w:noProof/>
          <w:sz w:val="24"/>
          <w:szCs w:val="24"/>
          <w:lang w:eastAsia="el-GR"/>
        </w:rPr>
        <w:t>\</w:t>
      </w:r>
    </w:p>
    <w:p w14:paraId="779307E3" w14:textId="77777777" w:rsidR="00045567" w:rsidRPr="00E36734" w:rsidRDefault="00045567" w:rsidP="00761263">
      <w:pPr>
        <w:spacing w:after="0" w:line="360" w:lineRule="auto"/>
        <w:jc w:val="both"/>
        <w:rPr>
          <w:rFonts w:ascii="Times New Roman" w:hAnsi="Times New Roman" w:cs="Times New Roman"/>
          <w:noProof/>
          <w:sz w:val="24"/>
          <w:szCs w:val="24"/>
          <w:lang w:eastAsia="el-GR"/>
        </w:rPr>
      </w:pPr>
    </w:p>
    <w:p w14:paraId="74E2C27F" w14:textId="0E6BCDCB" w:rsidR="00CC546C" w:rsidRPr="00045567" w:rsidRDefault="00057B4C" w:rsidP="00057B4C">
      <w:pPr>
        <w:spacing w:after="0" w:line="360" w:lineRule="auto"/>
        <w:jc w:val="center"/>
        <w:rPr>
          <w:rFonts w:ascii="Times New Roman" w:hAnsi="Times New Roman" w:cs="Times New Roman"/>
          <w:b/>
          <w:bCs/>
          <w:noProof/>
          <w:sz w:val="24"/>
          <w:szCs w:val="24"/>
          <w:lang w:eastAsia="el-GR"/>
        </w:rPr>
      </w:pPr>
      <w:r w:rsidRPr="00045567">
        <w:rPr>
          <w:rFonts w:ascii="Times New Roman" w:hAnsi="Times New Roman" w:cs="Times New Roman"/>
          <w:b/>
          <w:bCs/>
          <w:noProof/>
          <w:sz w:val="24"/>
          <w:szCs w:val="24"/>
          <w:lang w:eastAsia="el-GR"/>
        </w:rPr>
        <w:lastRenderedPageBreak/>
        <w:t>Γράφημα</w:t>
      </w:r>
      <w:r w:rsidR="00B466E4" w:rsidRPr="00045567">
        <w:rPr>
          <w:rFonts w:ascii="Times New Roman" w:hAnsi="Times New Roman" w:cs="Times New Roman"/>
          <w:b/>
          <w:bCs/>
          <w:noProof/>
          <w:sz w:val="24"/>
          <w:szCs w:val="24"/>
          <w:lang w:eastAsia="el-GR"/>
        </w:rPr>
        <w:t xml:space="preserve"> 6</w:t>
      </w:r>
    </w:p>
    <w:p w14:paraId="1A12A195" w14:textId="59C0FA51" w:rsidR="00057B4C" w:rsidRPr="00045567" w:rsidRDefault="00057B4C" w:rsidP="00057B4C">
      <w:pPr>
        <w:spacing w:after="0" w:line="360" w:lineRule="auto"/>
        <w:jc w:val="center"/>
        <w:rPr>
          <w:rFonts w:ascii="Times New Roman" w:hAnsi="Times New Roman" w:cs="Times New Roman"/>
          <w:b/>
          <w:bCs/>
          <w:noProof/>
          <w:sz w:val="24"/>
          <w:szCs w:val="24"/>
          <w:lang w:eastAsia="el-GR"/>
        </w:rPr>
      </w:pPr>
      <w:r w:rsidRPr="00045567">
        <w:rPr>
          <w:rFonts w:ascii="Times New Roman" w:hAnsi="Times New Roman" w:cs="Times New Roman"/>
          <w:b/>
          <w:bCs/>
          <w:noProof/>
          <w:sz w:val="24"/>
          <w:szCs w:val="24"/>
          <w:lang w:eastAsia="el-GR"/>
        </w:rPr>
        <w:t>Κύκλος Εργασιών</w:t>
      </w:r>
    </w:p>
    <w:p w14:paraId="5B4FE90A" w14:textId="47E1E54C" w:rsidR="00057B4C" w:rsidRPr="00045567" w:rsidRDefault="00057B4C" w:rsidP="00057B4C">
      <w:pPr>
        <w:spacing w:after="0" w:line="360" w:lineRule="auto"/>
        <w:jc w:val="center"/>
        <w:rPr>
          <w:rFonts w:ascii="Times New Roman" w:hAnsi="Times New Roman" w:cs="Times New Roman"/>
          <w:b/>
          <w:bCs/>
          <w:noProof/>
          <w:sz w:val="24"/>
          <w:szCs w:val="24"/>
          <w:lang w:eastAsia="el-GR"/>
        </w:rPr>
      </w:pPr>
      <w:r w:rsidRPr="00045567">
        <w:rPr>
          <w:rFonts w:ascii="Times New Roman" w:hAnsi="Times New Roman" w:cs="Times New Roman"/>
          <w:b/>
          <w:bCs/>
          <w:noProof/>
          <w:sz w:val="24"/>
          <w:szCs w:val="24"/>
          <w:lang w:eastAsia="el-GR"/>
        </w:rPr>
        <w:t>-ανά κατηγορία επιχειρήσεων-</w:t>
      </w:r>
    </w:p>
    <w:p w14:paraId="4FE11F7E" w14:textId="12D7CC1C" w:rsidR="00057B4C" w:rsidRPr="00045567" w:rsidRDefault="00057B4C" w:rsidP="00761263">
      <w:pPr>
        <w:spacing w:after="0" w:line="360" w:lineRule="auto"/>
        <w:jc w:val="both"/>
        <w:rPr>
          <w:rFonts w:ascii="Times New Roman" w:hAnsi="Times New Roman" w:cs="Times New Roman"/>
          <w:noProof/>
          <w:sz w:val="24"/>
          <w:szCs w:val="24"/>
          <w:lang w:eastAsia="el-GR"/>
        </w:rPr>
      </w:pPr>
      <w:r w:rsidRPr="00045567">
        <w:rPr>
          <w:rFonts w:ascii="Times New Roman" w:hAnsi="Times New Roman" w:cs="Times New Roman"/>
          <w:noProof/>
          <w:sz w:val="24"/>
          <w:szCs w:val="24"/>
          <w:lang w:val="en-US"/>
        </w:rPr>
        <w:drawing>
          <wp:inline distT="0" distB="0" distL="0" distR="0" wp14:anchorId="7BBE0A48" wp14:editId="02F343EC">
            <wp:extent cx="6570980" cy="4823460"/>
            <wp:effectExtent l="0" t="0" r="1270" b="15240"/>
            <wp:docPr id="39" name="Γράφημα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6F4A5A" w14:textId="77777777" w:rsidR="00045567" w:rsidRDefault="00045567" w:rsidP="00761263">
      <w:pPr>
        <w:spacing w:after="0" w:line="360" w:lineRule="auto"/>
        <w:jc w:val="both"/>
        <w:rPr>
          <w:rFonts w:ascii="Times New Roman" w:hAnsi="Times New Roman" w:cs="Times New Roman"/>
          <w:noProof/>
          <w:sz w:val="24"/>
          <w:szCs w:val="24"/>
          <w:lang w:eastAsia="el-GR"/>
        </w:rPr>
      </w:pPr>
    </w:p>
    <w:p w14:paraId="048758A5" w14:textId="26D2D62D" w:rsidR="00F37328" w:rsidRPr="00045567" w:rsidRDefault="004D3693" w:rsidP="00761263">
      <w:pPr>
        <w:spacing w:after="0" w:line="360" w:lineRule="auto"/>
        <w:jc w:val="both"/>
        <w:rPr>
          <w:rFonts w:ascii="Times New Roman" w:hAnsi="Times New Roman" w:cs="Times New Roman"/>
          <w:noProof/>
          <w:sz w:val="24"/>
          <w:szCs w:val="24"/>
          <w:lang w:eastAsia="el-GR"/>
        </w:rPr>
      </w:pPr>
      <w:r w:rsidRPr="00045567">
        <w:rPr>
          <w:rFonts w:ascii="Times New Roman" w:hAnsi="Times New Roman" w:cs="Times New Roman"/>
          <w:noProof/>
          <w:sz w:val="24"/>
          <w:szCs w:val="24"/>
          <w:lang w:eastAsia="el-GR"/>
        </w:rPr>
        <w:t>Ό</w:t>
      </w:r>
      <w:r w:rsidR="001F3396" w:rsidRPr="00045567">
        <w:rPr>
          <w:rFonts w:ascii="Times New Roman" w:hAnsi="Times New Roman" w:cs="Times New Roman"/>
          <w:noProof/>
          <w:sz w:val="24"/>
          <w:szCs w:val="24"/>
          <w:lang w:eastAsia="el-GR"/>
        </w:rPr>
        <w:t>σον αφορά τις ποσοστιαίες μεταβολές που έχουν επέλθει στον κύκλο εργασιών των επιχε</w:t>
      </w:r>
      <w:r w:rsidRPr="00045567">
        <w:rPr>
          <w:rFonts w:ascii="Times New Roman" w:hAnsi="Times New Roman" w:cs="Times New Roman"/>
          <w:noProof/>
          <w:sz w:val="24"/>
          <w:szCs w:val="24"/>
          <w:lang w:eastAsia="el-GR"/>
        </w:rPr>
        <w:t>ι</w:t>
      </w:r>
      <w:r w:rsidR="001F3396" w:rsidRPr="00045567">
        <w:rPr>
          <w:rFonts w:ascii="Times New Roman" w:hAnsi="Times New Roman" w:cs="Times New Roman"/>
          <w:noProof/>
          <w:sz w:val="24"/>
          <w:szCs w:val="24"/>
          <w:lang w:eastAsia="el-GR"/>
        </w:rPr>
        <w:t>ρήσεων</w:t>
      </w:r>
      <w:r w:rsidR="00B800A3" w:rsidRPr="00045567">
        <w:rPr>
          <w:rFonts w:ascii="Times New Roman" w:hAnsi="Times New Roman" w:cs="Times New Roman"/>
          <w:noProof/>
          <w:sz w:val="24"/>
          <w:szCs w:val="24"/>
          <w:lang w:eastAsia="el-GR"/>
        </w:rPr>
        <w:t>,</w:t>
      </w:r>
      <w:r w:rsidR="001F3396" w:rsidRPr="00045567">
        <w:rPr>
          <w:rFonts w:ascii="Times New Roman" w:hAnsi="Times New Roman" w:cs="Times New Roman"/>
          <w:noProof/>
          <w:sz w:val="24"/>
          <w:szCs w:val="24"/>
          <w:lang w:eastAsia="el-GR"/>
        </w:rPr>
        <w:t xml:space="preserve"> από τα στοιχεία της </w:t>
      </w:r>
      <w:r w:rsidR="00B84D9C" w:rsidRPr="00045567">
        <w:rPr>
          <w:rFonts w:ascii="Times New Roman" w:hAnsi="Times New Roman" w:cs="Times New Roman"/>
          <w:noProof/>
          <w:sz w:val="24"/>
          <w:szCs w:val="24"/>
          <w:lang w:eastAsia="el-GR"/>
        </w:rPr>
        <w:t>έ</w:t>
      </w:r>
      <w:r w:rsidR="001F3396" w:rsidRPr="00045567">
        <w:rPr>
          <w:rFonts w:ascii="Times New Roman" w:hAnsi="Times New Roman" w:cs="Times New Roman"/>
          <w:noProof/>
          <w:sz w:val="24"/>
          <w:szCs w:val="24"/>
          <w:lang w:eastAsia="el-GR"/>
        </w:rPr>
        <w:t>ρευνας προκύπτουν τα εξής:</w:t>
      </w:r>
    </w:p>
    <w:p w14:paraId="116B9BB2" w14:textId="153966D2" w:rsidR="001F3396" w:rsidRPr="00045567" w:rsidRDefault="0026638B" w:rsidP="001F3396">
      <w:pPr>
        <w:pStyle w:val="a5"/>
        <w:numPr>
          <w:ilvl w:val="0"/>
          <w:numId w:val="10"/>
        </w:numPr>
        <w:spacing w:after="0" w:line="360" w:lineRule="auto"/>
        <w:jc w:val="both"/>
        <w:rPr>
          <w:rFonts w:ascii="Times New Roman" w:hAnsi="Times New Roman" w:cs="Times New Roman"/>
          <w:noProof/>
          <w:sz w:val="24"/>
          <w:szCs w:val="24"/>
          <w:lang w:eastAsia="el-GR"/>
        </w:rPr>
      </w:pPr>
      <w:r w:rsidRPr="00045567">
        <w:rPr>
          <w:rFonts w:ascii="Times New Roman" w:hAnsi="Times New Roman" w:cs="Times New Roman"/>
          <w:noProof/>
          <w:sz w:val="24"/>
          <w:szCs w:val="24"/>
          <w:lang w:eastAsia="el-GR"/>
        </w:rPr>
        <w:t>Σ</w:t>
      </w:r>
      <w:r w:rsidR="007720A9" w:rsidRPr="00045567">
        <w:rPr>
          <w:rFonts w:ascii="Times New Roman" w:hAnsi="Times New Roman" w:cs="Times New Roman"/>
          <w:noProof/>
          <w:sz w:val="24"/>
          <w:szCs w:val="24"/>
          <w:lang w:eastAsia="el-GR"/>
        </w:rPr>
        <w:t>χεδόν 1</w:t>
      </w:r>
      <w:r w:rsidR="00DB4D1C" w:rsidRPr="00045567">
        <w:rPr>
          <w:rFonts w:ascii="Times New Roman" w:hAnsi="Times New Roman" w:cs="Times New Roman"/>
          <w:noProof/>
          <w:sz w:val="24"/>
          <w:szCs w:val="24"/>
          <w:lang w:eastAsia="el-GR"/>
        </w:rPr>
        <w:t xml:space="preserve"> στις </w:t>
      </w:r>
      <w:r w:rsidR="007720A9" w:rsidRPr="00045567">
        <w:rPr>
          <w:rFonts w:ascii="Times New Roman" w:hAnsi="Times New Roman" w:cs="Times New Roman"/>
          <w:noProof/>
          <w:sz w:val="24"/>
          <w:szCs w:val="24"/>
          <w:lang w:eastAsia="el-GR"/>
        </w:rPr>
        <w:t>2</w:t>
      </w:r>
      <w:r w:rsidR="00DB4D1C" w:rsidRPr="00045567">
        <w:rPr>
          <w:rFonts w:ascii="Times New Roman" w:hAnsi="Times New Roman" w:cs="Times New Roman"/>
          <w:noProof/>
          <w:sz w:val="24"/>
          <w:szCs w:val="24"/>
          <w:lang w:eastAsia="el-GR"/>
        </w:rPr>
        <w:t xml:space="preserve"> επιχειρήσεις </w:t>
      </w:r>
      <w:r w:rsidR="007720A9" w:rsidRPr="00045567">
        <w:rPr>
          <w:rFonts w:ascii="Times New Roman" w:hAnsi="Times New Roman" w:cs="Times New Roman"/>
          <w:noProof/>
          <w:sz w:val="24"/>
          <w:szCs w:val="24"/>
          <w:lang w:eastAsia="el-GR"/>
        </w:rPr>
        <w:t xml:space="preserve">(55%) </w:t>
      </w:r>
      <w:r w:rsidR="00DB4D1C" w:rsidRPr="00045567">
        <w:rPr>
          <w:rFonts w:ascii="Times New Roman" w:hAnsi="Times New Roman" w:cs="Times New Roman"/>
          <w:noProof/>
          <w:sz w:val="24"/>
          <w:szCs w:val="24"/>
          <w:lang w:eastAsia="el-GR"/>
        </w:rPr>
        <w:t xml:space="preserve">το </w:t>
      </w:r>
      <w:r w:rsidR="007720A9" w:rsidRPr="00045567">
        <w:rPr>
          <w:rFonts w:ascii="Times New Roman" w:hAnsi="Times New Roman" w:cs="Times New Roman"/>
          <w:noProof/>
          <w:sz w:val="24"/>
          <w:szCs w:val="24"/>
          <w:lang w:eastAsia="el-GR"/>
        </w:rPr>
        <w:t>Α</w:t>
      </w:r>
      <w:r w:rsidR="00DB4D1C" w:rsidRPr="00045567">
        <w:rPr>
          <w:rFonts w:ascii="Times New Roman" w:hAnsi="Times New Roman" w:cs="Times New Roman"/>
          <w:noProof/>
          <w:sz w:val="24"/>
          <w:szCs w:val="24"/>
          <w:lang w:eastAsia="el-GR"/>
        </w:rPr>
        <w:t xml:space="preserve"> εξάμηνο του 202</w:t>
      </w:r>
      <w:r w:rsidR="007720A9" w:rsidRPr="00045567">
        <w:rPr>
          <w:rFonts w:ascii="Times New Roman" w:hAnsi="Times New Roman" w:cs="Times New Roman"/>
          <w:noProof/>
          <w:sz w:val="24"/>
          <w:szCs w:val="24"/>
          <w:lang w:eastAsia="el-GR"/>
        </w:rPr>
        <w:t>1</w:t>
      </w:r>
      <w:r w:rsidR="00DB4D1C" w:rsidRPr="00045567">
        <w:rPr>
          <w:rFonts w:ascii="Times New Roman" w:hAnsi="Times New Roman" w:cs="Times New Roman"/>
          <w:noProof/>
          <w:sz w:val="24"/>
          <w:szCs w:val="24"/>
          <w:lang w:eastAsia="el-GR"/>
        </w:rPr>
        <w:t xml:space="preserve"> κατέγραψ</w:t>
      </w:r>
      <w:r w:rsidR="007720A9" w:rsidRPr="00045567">
        <w:rPr>
          <w:rFonts w:ascii="Times New Roman" w:hAnsi="Times New Roman" w:cs="Times New Roman"/>
          <w:noProof/>
          <w:sz w:val="24"/>
          <w:szCs w:val="24"/>
          <w:lang w:eastAsia="el-GR"/>
        </w:rPr>
        <w:t>ε</w:t>
      </w:r>
      <w:r w:rsidR="00DB4D1C" w:rsidRPr="00045567">
        <w:rPr>
          <w:rFonts w:ascii="Times New Roman" w:hAnsi="Times New Roman" w:cs="Times New Roman"/>
          <w:noProof/>
          <w:sz w:val="24"/>
          <w:szCs w:val="24"/>
          <w:lang w:eastAsia="el-GR"/>
        </w:rPr>
        <w:t xml:space="preserve"> μεσοσταθμική με</w:t>
      </w:r>
      <w:r w:rsidR="004D3693" w:rsidRPr="00045567">
        <w:rPr>
          <w:rFonts w:ascii="Times New Roman" w:hAnsi="Times New Roman" w:cs="Times New Roman"/>
          <w:noProof/>
          <w:sz w:val="24"/>
          <w:szCs w:val="24"/>
          <w:lang w:eastAsia="el-GR"/>
        </w:rPr>
        <w:t>ί</w:t>
      </w:r>
      <w:r w:rsidR="00DB4D1C" w:rsidRPr="00045567">
        <w:rPr>
          <w:rFonts w:ascii="Times New Roman" w:hAnsi="Times New Roman" w:cs="Times New Roman"/>
          <w:noProof/>
          <w:sz w:val="24"/>
          <w:szCs w:val="24"/>
          <w:lang w:eastAsia="el-GR"/>
        </w:rPr>
        <w:t xml:space="preserve">ωση του </w:t>
      </w:r>
      <w:r w:rsidR="00756068" w:rsidRPr="00045567">
        <w:rPr>
          <w:rFonts w:ascii="Times New Roman" w:hAnsi="Times New Roman" w:cs="Times New Roman"/>
          <w:noProof/>
          <w:sz w:val="24"/>
          <w:szCs w:val="24"/>
          <w:lang w:eastAsia="el-GR"/>
        </w:rPr>
        <w:t>κύκλου εργασιών</w:t>
      </w:r>
      <w:r w:rsidR="00DB4D1C" w:rsidRPr="00045567">
        <w:rPr>
          <w:rFonts w:ascii="Times New Roman" w:hAnsi="Times New Roman" w:cs="Times New Roman"/>
          <w:noProof/>
          <w:sz w:val="24"/>
          <w:szCs w:val="24"/>
          <w:lang w:eastAsia="el-GR"/>
        </w:rPr>
        <w:t xml:space="preserve">  </w:t>
      </w:r>
      <w:r w:rsidR="007720A9" w:rsidRPr="00045567">
        <w:rPr>
          <w:rFonts w:ascii="Times New Roman" w:hAnsi="Times New Roman" w:cs="Times New Roman"/>
          <w:noProof/>
          <w:sz w:val="24"/>
          <w:szCs w:val="24"/>
          <w:lang w:eastAsia="el-GR"/>
        </w:rPr>
        <w:t>41,4</w:t>
      </w:r>
      <w:r w:rsidR="00DB4D1C" w:rsidRPr="00045567">
        <w:rPr>
          <w:rFonts w:ascii="Times New Roman" w:hAnsi="Times New Roman" w:cs="Times New Roman"/>
          <w:noProof/>
          <w:sz w:val="24"/>
          <w:szCs w:val="24"/>
          <w:lang w:eastAsia="el-GR"/>
        </w:rPr>
        <w:t xml:space="preserve">%  (Γράφημα </w:t>
      </w:r>
      <w:r w:rsidR="007720A9" w:rsidRPr="00045567">
        <w:rPr>
          <w:rFonts w:ascii="Times New Roman" w:hAnsi="Times New Roman" w:cs="Times New Roman"/>
          <w:noProof/>
          <w:sz w:val="24"/>
          <w:szCs w:val="24"/>
          <w:lang w:eastAsia="el-GR"/>
        </w:rPr>
        <w:t>6</w:t>
      </w:r>
      <w:r w:rsidR="00DB4D1C" w:rsidRPr="00045567">
        <w:rPr>
          <w:rFonts w:ascii="Times New Roman" w:hAnsi="Times New Roman" w:cs="Times New Roman"/>
          <w:noProof/>
          <w:sz w:val="24"/>
          <w:szCs w:val="24"/>
          <w:lang w:eastAsia="el-GR"/>
        </w:rPr>
        <w:t xml:space="preserve">). </w:t>
      </w:r>
    </w:p>
    <w:p w14:paraId="286B784C" w14:textId="2B9275EA" w:rsidR="001F3396" w:rsidRPr="00045567" w:rsidRDefault="001F3396" w:rsidP="001F3396">
      <w:pPr>
        <w:pStyle w:val="a5"/>
        <w:numPr>
          <w:ilvl w:val="0"/>
          <w:numId w:val="10"/>
        </w:numPr>
        <w:spacing w:after="0" w:line="360" w:lineRule="auto"/>
        <w:jc w:val="both"/>
        <w:rPr>
          <w:rFonts w:ascii="Times New Roman" w:hAnsi="Times New Roman" w:cs="Times New Roman"/>
          <w:noProof/>
          <w:sz w:val="24"/>
          <w:szCs w:val="24"/>
          <w:lang w:eastAsia="el-GR"/>
        </w:rPr>
      </w:pPr>
      <w:r w:rsidRPr="00045567">
        <w:rPr>
          <w:rFonts w:ascii="Times New Roman" w:hAnsi="Times New Roman" w:cs="Times New Roman"/>
          <w:noProof/>
          <w:sz w:val="24"/>
          <w:szCs w:val="24"/>
          <w:lang w:eastAsia="el-GR"/>
        </w:rPr>
        <w:t xml:space="preserve">Στον αντίποδα </w:t>
      </w:r>
      <w:r w:rsidR="007720A9" w:rsidRPr="00045567">
        <w:rPr>
          <w:rFonts w:ascii="Times New Roman" w:hAnsi="Times New Roman" w:cs="Times New Roman"/>
          <w:noProof/>
          <w:sz w:val="24"/>
          <w:szCs w:val="24"/>
          <w:lang w:eastAsia="el-GR"/>
        </w:rPr>
        <w:t>οι</w:t>
      </w:r>
      <w:r w:rsidR="00DB4D1C" w:rsidRPr="00045567">
        <w:rPr>
          <w:rFonts w:ascii="Times New Roman" w:hAnsi="Times New Roman" w:cs="Times New Roman"/>
          <w:noProof/>
          <w:sz w:val="24"/>
          <w:szCs w:val="24"/>
          <w:lang w:eastAsia="el-GR"/>
        </w:rPr>
        <w:t xml:space="preserve"> </w:t>
      </w:r>
      <w:r w:rsidR="007720A9" w:rsidRPr="00045567">
        <w:rPr>
          <w:rFonts w:ascii="Times New Roman" w:hAnsi="Times New Roman" w:cs="Times New Roman"/>
          <w:noProof/>
          <w:sz w:val="24"/>
          <w:szCs w:val="24"/>
          <w:lang w:eastAsia="el-GR"/>
        </w:rPr>
        <w:t xml:space="preserve">2 </w:t>
      </w:r>
      <w:r w:rsidR="00DB4D1C" w:rsidRPr="00045567">
        <w:rPr>
          <w:rFonts w:ascii="Times New Roman" w:hAnsi="Times New Roman" w:cs="Times New Roman"/>
          <w:noProof/>
          <w:sz w:val="24"/>
          <w:szCs w:val="24"/>
          <w:lang w:eastAsia="el-GR"/>
        </w:rPr>
        <w:t>στις 10 επιχειρήσεις (</w:t>
      </w:r>
      <w:r w:rsidR="007720A9" w:rsidRPr="00045567">
        <w:rPr>
          <w:rFonts w:ascii="Times New Roman" w:hAnsi="Times New Roman" w:cs="Times New Roman"/>
          <w:noProof/>
          <w:sz w:val="24"/>
          <w:szCs w:val="24"/>
          <w:lang w:eastAsia="el-GR"/>
        </w:rPr>
        <w:t>20</w:t>
      </w:r>
      <w:r w:rsidR="00DB4D1C" w:rsidRPr="00045567">
        <w:rPr>
          <w:rFonts w:ascii="Times New Roman" w:hAnsi="Times New Roman" w:cs="Times New Roman"/>
          <w:noProof/>
          <w:sz w:val="24"/>
          <w:szCs w:val="24"/>
          <w:lang w:eastAsia="el-GR"/>
        </w:rPr>
        <w:t>%) κατέγραψ</w:t>
      </w:r>
      <w:r w:rsidR="007720A9" w:rsidRPr="00045567">
        <w:rPr>
          <w:rFonts w:ascii="Times New Roman" w:hAnsi="Times New Roman" w:cs="Times New Roman"/>
          <w:noProof/>
          <w:sz w:val="24"/>
          <w:szCs w:val="24"/>
          <w:lang w:eastAsia="el-GR"/>
        </w:rPr>
        <w:t>αν</w:t>
      </w:r>
      <w:r w:rsidR="00DB4D1C" w:rsidRPr="00045567">
        <w:rPr>
          <w:rFonts w:ascii="Times New Roman" w:hAnsi="Times New Roman" w:cs="Times New Roman"/>
          <w:noProof/>
          <w:sz w:val="24"/>
          <w:szCs w:val="24"/>
          <w:lang w:eastAsia="el-GR"/>
        </w:rPr>
        <w:t xml:space="preserve"> μεσοσταθμική </w:t>
      </w:r>
      <w:r w:rsidRPr="00045567">
        <w:rPr>
          <w:rFonts w:ascii="Times New Roman" w:hAnsi="Times New Roman" w:cs="Times New Roman"/>
          <w:noProof/>
          <w:sz w:val="24"/>
          <w:szCs w:val="24"/>
          <w:lang w:eastAsia="el-GR"/>
        </w:rPr>
        <w:t>α</w:t>
      </w:r>
      <w:r w:rsidR="004D3693" w:rsidRPr="00045567">
        <w:rPr>
          <w:rFonts w:ascii="Times New Roman" w:hAnsi="Times New Roman" w:cs="Times New Roman"/>
          <w:noProof/>
          <w:sz w:val="24"/>
          <w:szCs w:val="24"/>
          <w:lang w:eastAsia="el-GR"/>
        </w:rPr>
        <w:t>ύ</w:t>
      </w:r>
      <w:r w:rsidRPr="00045567">
        <w:rPr>
          <w:rFonts w:ascii="Times New Roman" w:hAnsi="Times New Roman" w:cs="Times New Roman"/>
          <w:noProof/>
          <w:sz w:val="24"/>
          <w:szCs w:val="24"/>
          <w:lang w:eastAsia="el-GR"/>
        </w:rPr>
        <w:t xml:space="preserve">ξηση του </w:t>
      </w:r>
      <w:r w:rsidR="00756068" w:rsidRPr="00045567">
        <w:rPr>
          <w:rFonts w:ascii="Times New Roman" w:hAnsi="Times New Roman" w:cs="Times New Roman"/>
          <w:noProof/>
          <w:sz w:val="24"/>
          <w:szCs w:val="24"/>
          <w:lang w:eastAsia="el-GR"/>
        </w:rPr>
        <w:t xml:space="preserve">κύκλου εργασιών  </w:t>
      </w:r>
      <w:r w:rsidR="00DB4D1C" w:rsidRPr="00045567">
        <w:rPr>
          <w:rFonts w:ascii="Times New Roman" w:hAnsi="Times New Roman" w:cs="Times New Roman"/>
          <w:noProof/>
          <w:sz w:val="24"/>
          <w:szCs w:val="24"/>
          <w:lang w:eastAsia="el-GR"/>
        </w:rPr>
        <w:t>του</w:t>
      </w:r>
      <w:r w:rsidRPr="00045567">
        <w:rPr>
          <w:rFonts w:ascii="Times New Roman" w:hAnsi="Times New Roman" w:cs="Times New Roman"/>
          <w:noProof/>
          <w:sz w:val="24"/>
          <w:szCs w:val="24"/>
          <w:lang w:eastAsia="el-GR"/>
        </w:rPr>
        <w:t xml:space="preserve"> </w:t>
      </w:r>
      <w:r w:rsidR="007720A9" w:rsidRPr="00045567">
        <w:rPr>
          <w:rFonts w:ascii="Times New Roman" w:hAnsi="Times New Roman" w:cs="Times New Roman"/>
          <w:noProof/>
          <w:sz w:val="24"/>
          <w:szCs w:val="24"/>
          <w:lang w:eastAsia="el-GR"/>
        </w:rPr>
        <w:t>27,9</w:t>
      </w:r>
      <w:r w:rsidRPr="00045567">
        <w:rPr>
          <w:rFonts w:ascii="Times New Roman" w:hAnsi="Times New Roman" w:cs="Times New Roman"/>
          <w:noProof/>
          <w:sz w:val="24"/>
          <w:szCs w:val="24"/>
          <w:lang w:eastAsia="el-GR"/>
        </w:rPr>
        <w:t>%</w:t>
      </w:r>
      <w:r w:rsidR="00A319CA" w:rsidRPr="00045567">
        <w:rPr>
          <w:rFonts w:ascii="Times New Roman" w:hAnsi="Times New Roman" w:cs="Times New Roman"/>
          <w:noProof/>
          <w:sz w:val="24"/>
          <w:szCs w:val="24"/>
          <w:lang w:eastAsia="el-GR"/>
        </w:rPr>
        <w:t xml:space="preserve"> (Γράφημα 7)</w:t>
      </w:r>
      <w:r w:rsidRPr="00045567">
        <w:rPr>
          <w:rFonts w:ascii="Times New Roman" w:hAnsi="Times New Roman" w:cs="Times New Roman"/>
          <w:noProof/>
          <w:sz w:val="24"/>
          <w:szCs w:val="24"/>
          <w:lang w:eastAsia="el-GR"/>
        </w:rPr>
        <w:t>.</w:t>
      </w:r>
    </w:p>
    <w:p w14:paraId="5911587E" w14:textId="7B0EC7C8" w:rsidR="00CC546C" w:rsidRDefault="001F3396" w:rsidP="00876EEE">
      <w:pPr>
        <w:pStyle w:val="a5"/>
        <w:numPr>
          <w:ilvl w:val="0"/>
          <w:numId w:val="10"/>
        </w:numPr>
        <w:spacing w:after="0" w:line="360" w:lineRule="auto"/>
        <w:jc w:val="both"/>
        <w:rPr>
          <w:rFonts w:ascii="Times New Roman" w:hAnsi="Times New Roman" w:cs="Times New Roman"/>
          <w:noProof/>
          <w:sz w:val="24"/>
          <w:szCs w:val="24"/>
          <w:lang w:eastAsia="el-GR"/>
        </w:rPr>
      </w:pPr>
      <w:bookmarkStart w:id="4" w:name="_Hlk68074662"/>
      <w:r w:rsidRPr="00820ED0">
        <w:rPr>
          <w:rFonts w:ascii="Times New Roman" w:hAnsi="Times New Roman" w:cs="Times New Roman"/>
          <w:noProof/>
          <w:sz w:val="24"/>
          <w:szCs w:val="24"/>
          <w:lang w:eastAsia="el-GR"/>
        </w:rPr>
        <w:t>Στο σ</w:t>
      </w:r>
      <w:r w:rsidR="00DB4D1C" w:rsidRPr="00820ED0">
        <w:rPr>
          <w:rFonts w:ascii="Times New Roman" w:hAnsi="Times New Roman" w:cs="Times New Roman"/>
          <w:noProof/>
          <w:sz w:val="24"/>
          <w:szCs w:val="24"/>
          <w:lang w:eastAsia="el-GR"/>
        </w:rPr>
        <w:t>ύ</w:t>
      </w:r>
      <w:r w:rsidRPr="00820ED0">
        <w:rPr>
          <w:rFonts w:ascii="Times New Roman" w:hAnsi="Times New Roman" w:cs="Times New Roman"/>
          <w:noProof/>
          <w:sz w:val="24"/>
          <w:szCs w:val="24"/>
          <w:lang w:eastAsia="el-GR"/>
        </w:rPr>
        <w:t xml:space="preserve">νολο των </w:t>
      </w:r>
      <w:r w:rsidR="001D0622" w:rsidRPr="00820ED0">
        <w:rPr>
          <w:rFonts w:ascii="Times New Roman" w:hAnsi="Times New Roman" w:cs="Times New Roman"/>
          <w:noProof/>
          <w:sz w:val="24"/>
          <w:szCs w:val="24"/>
          <w:lang w:eastAsia="el-GR"/>
        </w:rPr>
        <w:t xml:space="preserve">μικρών και πολύ μικρών </w:t>
      </w:r>
      <w:r w:rsidRPr="00820ED0">
        <w:rPr>
          <w:rFonts w:ascii="Times New Roman" w:hAnsi="Times New Roman" w:cs="Times New Roman"/>
          <w:noProof/>
          <w:sz w:val="24"/>
          <w:szCs w:val="24"/>
          <w:lang w:eastAsia="el-GR"/>
        </w:rPr>
        <w:t>επιχειρήσεων</w:t>
      </w:r>
      <w:r w:rsidR="0026638B">
        <w:rPr>
          <w:rFonts w:ascii="Times New Roman" w:hAnsi="Times New Roman" w:cs="Times New Roman"/>
          <w:noProof/>
          <w:sz w:val="24"/>
          <w:szCs w:val="24"/>
          <w:lang w:eastAsia="el-GR"/>
        </w:rPr>
        <w:t>,</w:t>
      </w:r>
      <w:r w:rsidRPr="00820ED0">
        <w:rPr>
          <w:rFonts w:ascii="Times New Roman" w:hAnsi="Times New Roman" w:cs="Times New Roman"/>
          <w:noProof/>
          <w:sz w:val="24"/>
          <w:szCs w:val="24"/>
          <w:lang w:eastAsia="el-GR"/>
        </w:rPr>
        <w:t xml:space="preserve"> ο κ</w:t>
      </w:r>
      <w:r w:rsidR="00DB4D1C" w:rsidRPr="00820ED0">
        <w:rPr>
          <w:rFonts w:ascii="Times New Roman" w:hAnsi="Times New Roman" w:cs="Times New Roman"/>
          <w:noProof/>
          <w:sz w:val="24"/>
          <w:szCs w:val="24"/>
          <w:lang w:eastAsia="el-GR"/>
        </w:rPr>
        <w:t>ύ</w:t>
      </w:r>
      <w:r w:rsidRPr="00820ED0">
        <w:rPr>
          <w:rFonts w:ascii="Times New Roman" w:hAnsi="Times New Roman" w:cs="Times New Roman"/>
          <w:noProof/>
          <w:sz w:val="24"/>
          <w:szCs w:val="24"/>
          <w:lang w:eastAsia="el-GR"/>
        </w:rPr>
        <w:t xml:space="preserve">κλος εργασιών </w:t>
      </w:r>
      <w:r w:rsidR="007720A9" w:rsidRPr="00820ED0">
        <w:rPr>
          <w:rFonts w:ascii="Times New Roman" w:hAnsi="Times New Roman" w:cs="Times New Roman"/>
          <w:noProof/>
          <w:sz w:val="24"/>
          <w:szCs w:val="24"/>
          <w:lang w:eastAsia="el-GR"/>
        </w:rPr>
        <w:t>το Α</w:t>
      </w:r>
      <w:r w:rsidR="0026638B">
        <w:rPr>
          <w:rFonts w:ascii="Times New Roman" w:hAnsi="Times New Roman" w:cs="Times New Roman"/>
          <w:noProof/>
          <w:sz w:val="24"/>
          <w:szCs w:val="24"/>
          <w:lang w:eastAsia="el-GR"/>
        </w:rPr>
        <w:t>’</w:t>
      </w:r>
      <w:r w:rsidR="007720A9" w:rsidRPr="00820ED0">
        <w:rPr>
          <w:rFonts w:ascii="Times New Roman" w:hAnsi="Times New Roman" w:cs="Times New Roman"/>
          <w:noProof/>
          <w:sz w:val="24"/>
          <w:szCs w:val="24"/>
          <w:lang w:eastAsia="el-GR"/>
        </w:rPr>
        <w:t xml:space="preserve"> εξάμηνο του 2021 </w:t>
      </w:r>
      <w:r w:rsidR="00DB4D1C" w:rsidRPr="00820ED0">
        <w:rPr>
          <w:rFonts w:ascii="Times New Roman" w:hAnsi="Times New Roman" w:cs="Times New Roman"/>
          <w:noProof/>
          <w:sz w:val="24"/>
          <w:szCs w:val="24"/>
          <w:lang w:eastAsia="el-GR"/>
        </w:rPr>
        <w:t>μειώθηκε μεσοσταθμικά</w:t>
      </w:r>
      <w:r w:rsidRPr="00820ED0">
        <w:rPr>
          <w:rFonts w:ascii="Times New Roman" w:hAnsi="Times New Roman" w:cs="Times New Roman"/>
          <w:noProof/>
          <w:sz w:val="24"/>
          <w:szCs w:val="24"/>
          <w:lang w:eastAsia="el-GR"/>
        </w:rPr>
        <w:t xml:space="preserve"> κατά </w:t>
      </w:r>
      <w:r w:rsidR="007720A9" w:rsidRPr="00820ED0">
        <w:rPr>
          <w:rFonts w:ascii="Times New Roman" w:hAnsi="Times New Roman" w:cs="Times New Roman"/>
          <w:noProof/>
          <w:sz w:val="24"/>
          <w:szCs w:val="24"/>
          <w:lang w:eastAsia="el-GR"/>
        </w:rPr>
        <w:t xml:space="preserve">16,7% , εναντι </w:t>
      </w:r>
      <w:r w:rsidR="001D0622" w:rsidRPr="00820ED0">
        <w:rPr>
          <w:rFonts w:ascii="Times New Roman" w:hAnsi="Times New Roman" w:cs="Times New Roman"/>
          <w:noProof/>
          <w:sz w:val="24"/>
          <w:szCs w:val="24"/>
          <w:lang w:eastAsia="el-GR"/>
        </w:rPr>
        <w:t xml:space="preserve">μείωσης </w:t>
      </w:r>
      <w:r w:rsidRPr="00820ED0">
        <w:rPr>
          <w:rFonts w:ascii="Times New Roman" w:hAnsi="Times New Roman" w:cs="Times New Roman"/>
          <w:noProof/>
          <w:sz w:val="24"/>
          <w:szCs w:val="24"/>
          <w:lang w:eastAsia="el-GR"/>
        </w:rPr>
        <w:t>32,4%</w:t>
      </w:r>
      <w:bookmarkEnd w:id="4"/>
      <w:r w:rsidRPr="00820ED0">
        <w:rPr>
          <w:rFonts w:ascii="Times New Roman" w:hAnsi="Times New Roman" w:cs="Times New Roman"/>
          <w:noProof/>
          <w:sz w:val="24"/>
          <w:szCs w:val="24"/>
          <w:lang w:eastAsia="el-GR"/>
        </w:rPr>
        <w:t xml:space="preserve"> το Β</w:t>
      </w:r>
      <w:r w:rsidR="00B84D9C">
        <w:rPr>
          <w:rFonts w:ascii="Times New Roman" w:hAnsi="Times New Roman" w:cs="Times New Roman"/>
          <w:noProof/>
          <w:sz w:val="24"/>
          <w:szCs w:val="24"/>
          <w:lang w:eastAsia="el-GR"/>
        </w:rPr>
        <w:t>’</w:t>
      </w:r>
      <w:r w:rsidRPr="00820ED0">
        <w:rPr>
          <w:rFonts w:ascii="Times New Roman" w:hAnsi="Times New Roman" w:cs="Times New Roman"/>
          <w:noProof/>
          <w:sz w:val="24"/>
          <w:szCs w:val="24"/>
          <w:lang w:eastAsia="el-GR"/>
        </w:rPr>
        <w:t xml:space="preserve"> εξάμηνο του 2020</w:t>
      </w:r>
      <w:r w:rsidR="007720A9" w:rsidRPr="00820ED0">
        <w:rPr>
          <w:rFonts w:ascii="Times New Roman" w:hAnsi="Times New Roman" w:cs="Times New Roman"/>
          <w:noProof/>
          <w:sz w:val="24"/>
          <w:szCs w:val="24"/>
          <w:lang w:eastAsia="el-GR"/>
        </w:rPr>
        <w:t xml:space="preserve"> και </w:t>
      </w:r>
      <w:r w:rsidRPr="00820ED0">
        <w:rPr>
          <w:rFonts w:ascii="Times New Roman" w:hAnsi="Times New Roman" w:cs="Times New Roman"/>
          <w:noProof/>
          <w:sz w:val="24"/>
          <w:szCs w:val="24"/>
          <w:lang w:eastAsia="el-GR"/>
        </w:rPr>
        <w:t xml:space="preserve">40,1% </w:t>
      </w:r>
      <w:r w:rsidR="001E56CB" w:rsidRPr="00820ED0">
        <w:rPr>
          <w:rFonts w:ascii="Times New Roman" w:hAnsi="Times New Roman" w:cs="Times New Roman"/>
          <w:noProof/>
          <w:sz w:val="24"/>
          <w:szCs w:val="24"/>
          <w:lang w:eastAsia="el-GR"/>
        </w:rPr>
        <w:t>το Α</w:t>
      </w:r>
      <w:r w:rsidR="0026638B">
        <w:rPr>
          <w:rFonts w:ascii="Times New Roman" w:hAnsi="Times New Roman" w:cs="Times New Roman"/>
          <w:noProof/>
          <w:sz w:val="24"/>
          <w:szCs w:val="24"/>
          <w:lang w:eastAsia="el-GR"/>
        </w:rPr>
        <w:t>’</w:t>
      </w:r>
      <w:r w:rsidR="001E56CB" w:rsidRPr="00820ED0">
        <w:rPr>
          <w:rFonts w:ascii="Times New Roman" w:hAnsi="Times New Roman" w:cs="Times New Roman"/>
          <w:noProof/>
          <w:sz w:val="24"/>
          <w:szCs w:val="24"/>
          <w:lang w:eastAsia="el-GR"/>
        </w:rPr>
        <w:t xml:space="preserve"> εξάμηνο</w:t>
      </w:r>
      <w:r w:rsidR="007720A9" w:rsidRPr="00820ED0">
        <w:rPr>
          <w:rFonts w:ascii="Times New Roman" w:hAnsi="Times New Roman" w:cs="Times New Roman"/>
          <w:noProof/>
          <w:sz w:val="24"/>
          <w:szCs w:val="24"/>
          <w:lang w:eastAsia="el-GR"/>
        </w:rPr>
        <w:t xml:space="preserve"> του 2020</w:t>
      </w:r>
      <w:r w:rsidR="001E56CB" w:rsidRPr="00820ED0">
        <w:rPr>
          <w:rFonts w:ascii="Times New Roman" w:hAnsi="Times New Roman" w:cs="Times New Roman"/>
          <w:noProof/>
          <w:sz w:val="24"/>
          <w:szCs w:val="24"/>
          <w:lang w:eastAsia="el-GR"/>
        </w:rPr>
        <w:t>.</w:t>
      </w:r>
    </w:p>
    <w:p w14:paraId="644993D3" w14:textId="2584158B" w:rsidR="00DF32C4" w:rsidRDefault="00DF32C4" w:rsidP="00DF32C4">
      <w:pPr>
        <w:spacing w:after="0" w:line="360" w:lineRule="auto"/>
        <w:jc w:val="both"/>
        <w:rPr>
          <w:rFonts w:ascii="Times New Roman" w:hAnsi="Times New Roman" w:cs="Times New Roman"/>
          <w:noProof/>
          <w:sz w:val="24"/>
          <w:szCs w:val="24"/>
          <w:lang w:eastAsia="el-GR"/>
        </w:rPr>
      </w:pPr>
    </w:p>
    <w:p w14:paraId="573B4DD6" w14:textId="77777777" w:rsidR="00045567" w:rsidRPr="00DF32C4" w:rsidRDefault="00045567" w:rsidP="00DF32C4">
      <w:pPr>
        <w:spacing w:after="0" w:line="360" w:lineRule="auto"/>
        <w:jc w:val="both"/>
        <w:rPr>
          <w:rFonts w:ascii="Times New Roman" w:hAnsi="Times New Roman" w:cs="Times New Roman"/>
          <w:noProof/>
          <w:sz w:val="24"/>
          <w:szCs w:val="24"/>
          <w:lang w:eastAsia="el-GR"/>
        </w:rPr>
      </w:pPr>
    </w:p>
    <w:p w14:paraId="6CE76075" w14:textId="1715A39A" w:rsidR="00C07136" w:rsidRPr="00E36734" w:rsidRDefault="00C07136" w:rsidP="00C07136">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lastRenderedPageBreak/>
        <w:t xml:space="preserve">Γράφημα </w:t>
      </w:r>
      <w:r w:rsidR="00C01329" w:rsidRPr="00E36734">
        <w:rPr>
          <w:rFonts w:ascii="Times New Roman" w:hAnsi="Times New Roman" w:cs="Times New Roman"/>
          <w:b/>
          <w:sz w:val="24"/>
          <w:szCs w:val="24"/>
        </w:rPr>
        <w:t>6</w:t>
      </w:r>
    </w:p>
    <w:p w14:paraId="036C6783" w14:textId="358C2C3A" w:rsidR="00C07136" w:rsidRPr="00E36734" w:rsidRDefault="00C07136" w:rsidP="00C07136">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Ποσοστό μείωσης κύκλου εργασιών</w:t>
      </w:r>
    </w:p>
    <w:p w14:paraId="5D898B8E" w14:textId="2CC25153" w:rsidR="00C07136" w:rsidRPr="00E36734" w:rsidRDefault="00C07136" w:rsidP="00C07136">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-Βάση</w:t>
      </w:r>
      <w:r w:rsidR="00381DA0">
        <w:rPr>
          <w:rFonts w:ascii="Times New Roman" w:hAnsi="Times New Roman" w:cs="Times New Roman"/>
          <w:b/>
          <w:sz w:val="24"/>
          <w:szCs w:val="24"/>
        </w:rPr>
        <w:t>:</w:t>
      </w:r>
      <w:r w:rsidRPr="00E36734">
        <w:rPr>
          <w:rFonts w:ascii="Times New Roman" w:hAnsi="Times New Roman" w:cs="Times New Roman"/>
          <w:b/>
          <w:sz w:val="24"/>
          <w:szCs w:val="24"/>
        </w:rPr>
        <w:t xml:space="preserve"> επιχειρήσεις που δήλωσαν πως μειώθηκε ο </w:t>
      </w:r>
      <w:r w:rsidR="0026638B">
        <w:rPr>
          <w:rFonts w:ascii="Times New Roman" w:hAnsi="Times New Roman" w:cs="Times New Roman"/>
          <w:b/>
          <w:sz w:val="24"/>
          <w:szCs w:val="24"/>
        </w:rPr>
        <w:t>κύκλος εργασιών</w:t>
      </w:r>
      <w:r w:rsidRPr="00E36734">
        <w:rPr>
          <w:rFonts w:ascii="Times New Roman" w:hAnsi="Times New Roman" w:cs="Times New Roman"/>
          <w:b/>
          <w:sz w:val="24"/>
          <w:szCs w:val="24"/>
        </w:rPr>
        <w:t xml:space="preserve"> τους -</w:t>
      </w:r>
    </w:p>
    <w:p w14:paraId="70CBBB91" w14:textId="77777777" w:rsidR="00C07136" w:rsidRPr="00E36734" w:rsidRDefault="00C07136" w:rsidP="00C07136">
      <w:pPr>
        <w:spacing w:after="0" w:line="360" w:lineRule="auto"/>
        <w:jc w:val="both"/>
        <w:rPr>
          <w:rFonts w:ascii="Times New Roman" w:hAnsi="Times New Roman" w:cs="Times New Roman"/>
          <w:sz w:val="24"/>
          <w:szCs w:val="24"/>
        </w:rPr>
      </w:pPr>
      <w:r w:rsidRPr="00E36734">
        <w:rPr>
          <w:noProof/>
          <w:lang w:val="en-US"/>
        </w:rPr>
        <mc:AlternateContent>
          <mc:Choice Requires="wps">
            <w:drawing>
              <wp:anchor distT="0" distB="0" distL="114300" distR="114300" simplePos="0" relativeHeight="251657216" behindDoc="0" locked="0" layoutInCell="1" allowOverlap="1" wp14:anchorId="0C5B3783" wp14:editId="009ACFBF">
                <wp:simplePos x="0" y="0"/>
                <wp:positionH relativeFrom="column">
                  <wp:posOffset>3908426</wp:posOffset>
                </wp:positionH>
                <wp:positionV relativeFrom="paragraph">
                  <wp:posOffset>1769745</wp:posOffset>
                </wp:positionV>
                <wp:extent cx="2164080" cy="830580"/>
                <wp:effectExtent l="0" t="0" r="26670" b="26670"/>
                <wp:wrapNone/>
                <wp:docPr id="27" name="TextBox 4"/>
                <wp:cNvGraphicFramePr/>
                <a:graphic xmlns:a="http://schemas.openxmlformats.org/drawingml/2006/main">
                  <a:graphicData uri="http://schemas.microsoft.com/office/word/2010/wordprocessingShape">
                    <wps:wsp>
                      <wps:cNvSpPr txBox="1"/>
                      <wps:spPr>
                        <a:xfrm>
                          <a:off x="0" y="0"/>
                          <a:ext cx="2164080" cy="830580"/>
                        </a:xfrm>
                        <a:prstGeom prst="rect">
                          <a:avLst/>
                        </a:prstGeom>
                        <a:solidFill>
                          <a:sysClr val="window" lastClr="FFFFFF"/>
                        </a:solidFill>
                        <a:ln w="25400" cap="flat" cmpd="sng" algn="ctr">
                          <a:solidFill>
                            <a:srgbClr val="C0504D"/>
                          </a:solidFill>
                          <a:prstDash val="solid"/>
                        </a:ln>
                        <a:effectLst/>
                      </wps:spPr>
                      <wps:txbx>
                        <w:txbxContent>
                          <w:p w14:paraId="7E2BAF0C" w14:textId="54FE326A" w:rsidR="00FA5CFC" w:rsidRPr="00246A7F" w:rsidRDefault="00FA5CFC" w:rsidP="00C07136">
                            <w:pPr>
                              <w:pStyle w:val="Web"/>
                              <w:spacing w:before="0" w:beforeAutospacing="0" w:after="0" w:afterAutospacing="0" w:line="360" w:lineRule="auto"/>
                              <w:jc w:val="center"/>
                              <w:textAlignment w:val="baseline"/>
                              <w:rPr>
                                <w:sz w:val="28"/>
                                <w:szCs w:val="28"/>
                              </w:rPr>
                            </w:pPr>
                            <w:r w:rsidRPr="00246A7F">
                              <w:rPr>
                                <w:rFonts w:ascii="Microsoft JhengHei UI" w:eastAsia="Microsoft JhengHei UI" w:hAnsi="Microsoft JhengHei UI" w:cs="+mn-cs" w:hint="eastAsia"/>
                                <w:b/>
                                <w:bCs/>
                                <w:color w:val="000000"/>
                                <w:kern w:val="24"/>
                                <w:sz w:val="28"/>
                                <w:szCs w:val="28"/>
                              </w:rPr>
                              <w:t xml:space="preserve">Μ.Ο. μείωσης </w:t>
                            </w:r>
                            <w:r>
                              <w:rPr>
                                <w:rFonts w:ascii="Microsoft JhengHei UI" w:eastAsia="Microsoft JhengHei UI" w:hAnsi="Microsoft JhengHei UI" w:cs="+mn-cs"/>
                                <w:b/>
                                <w:bCs/>
                                <w:color w:val="000000"/>
                                <w:kern w:val="24"/>
                                <w:sz w:val="28"/>
                                <w:szCs w:val="28"/>
                              </w:rPr>
                              <w:t>κύκλου εργασιών</w:t>
                            </w:r>
                            <w:r w:rsidRPr="00246A7F">
                              <w:rPr>
                                <w:rFonts w:ascii="Microsoft JhengHei UI" w:eastAsia="Microsoft JhengHei UI" w:hAnsi="Microsoft JhengHei UI" w:cs="+mn-cs" w:hint="eastAsia"/>
                                <w:b/>
                                <w:bCs/>
                                <w:color w:val="000000"/>
                                <w:kern w:val="24"/>
                                <w:sz w:val="28"/>
                                <w:szCs w:val="28"/>
                              </w:rPr>
                              <w:t>: 4</w:t>
                            </w:r>
                            <w:r w:rsidRPr="00246A7F">
                              <w:rPr>
                                <w:rFonts w:ascii="Microsoft JhengHei UI" w:eastAsia="Microsoft JhengHei UI" w:hAnsi="Microsoft JhengHei UI" w:cs="+mn-cs"/>
                                <w:b/>
                                <w:bCs/>
                                <w:color w:val="000000"/>
                                <w:kern w:val="24"/>
                                <w:sz w:val="28"/>
                                <w:szCs w:val="28"/>
                              </w:rPr>
                              <w:t>1</w:t>
                            </w:r>
                            <w:r w:rsidRPr="00246A7F">
                              <w:rPr>
                                <w:rFonts w:ascii="Microsoft JhengHei UI" w:eastAsia="Microsoft JhengHei UI" w:hAnsi="Microsoft JhengHei UI" w:cs="+mn-cs" w:hint="eastAsia"/>
                                <w:b/>
                                <w:bCs/>
                                <w:color w:val="000000"/>
                                <w:kern w:val="24"/>
                                <w:sz w:val="28"/>
                                <w:szCs w:val="28"/>
                              </w:rPr>
                              <w:t>,</w:t>
                            </w:r>
                            <w:r w:rsidRPr="00246A7F">
                              <w:rPr>
                                <w:rFonts w:ascii="Microsoft JhengHei UI" w:eastAsia="Microsoft JhengHei UI" w:hAnsi="Microsoft JhengHei UI" w:cs="+mn-cs"/>
                                <w:b/>
                                <w:bCs/>
                                <w:color w:val="000000"/>
                                <w:kern w:val="24"/>
                                <w:sz w:val="28"/>
                                <w:szCs w:val="28"/>
                              </w:rPr>
                              <w:t>4</w:t>
                            </w:r>
                            <w:r w:rsidRPr="00246A7F">
                              <w:rPr>
                                <w:rFonts w:ascii="Microsoft JhengHei UI" w:eastAsia="Microsoft JhengHei UI" w:hAnsi="Microsoft JhengHei UI" w:cs="+mn-cs" w:hint="eastAsia"/>
                                <w:b/>
                                <w:bCs/>
                                <w:color w:val="000000"/>
                                <w:kern w:val="24"/>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C5B3783" id="_x0000_t202" coordsize="21600,21600" o:spt="202" path="m,l,21600r21600,l21600,xe">
                <v:stroke joinstyle="miter"/>
                <v:path gradientshapeok="t" o:connecttype="rect"/>
              </v:shapetype>
              <v:shape id="TextBox 4" o:spid="_x0000_s1026" type="#_x0000_t202" style="position:absolute;left:0;text-align:left;margin-left:307.75pt;margin-top:139.35pt;width:170.4pt;height:6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" fillcolor="window" strokecolor="#c0504d" strokeweight="2pt">
                <v:textbox>
                  <w:txbxContent>
                    <w:p w14:paraId="7E2BAF0C" w14:textId="54FE326A" w:rsidR="00FA5CFC" w:rsidRPr="00246A7F" w:rsidRDefault="00FA5CFC" w:rsidP="00C07136">
                      <w:pPr>
                        <w:pStyle w:val="Web"/>
                        <w:spacing w:before="0" w:beforeAutospacing="0" w:after="0" w:afterAutospacing="0" w:line="360" w:lineRule="auto"/>
                        <w:jc w:val="center"/>
                        <w:textAlignment w:val="baseline"/>
                        <w:rPr>
                          <w:sz w:val="28"/>
                          <w:szCs w:val="28"/>
                        </w:rPr>
                      </w:pPr>
                      <w:r w:rsidRPr="00246A7F">
                        <w:rPr>
                          <w:rFonts w:ascii="Microsoft JhengHei UI" w:eastAsia="Microsoft JhengHei UI" w:hAnsi="Microsoft JhengHei UI" w:cs="+mn-cs" w:hint="eastAsia"/>
                          <w:b/>
                          <w:bCs/>
                          <w:color w:val="000000"/>
                          <w:kern w:val="24"/>
                          <w:sz w:val="28"/>
                          <w:szCs w:val="28"/>
                        </w:rPr>
                        <w:t xml:space="preserve">Μ.Ο. μείωσης </w:t>
                      </w:r>
                      <w:r>
                        <w:rPr>
                          <w:rFonts w:ascii="Microsoft JhengHei UI" w:eastAsia="Microsoft JhengHei UI" w:hAnsi="Microsoft JhengHei UI" w:cs="+mn-cs"/>
                          <w:b/>
                          <w:bCs/>
                          <w:color w:val="000000"/>
                          <w:kern w:val="24"/>
                          <w:sz w:val="28"/>
                          <w:szCs w:val="28"/>
                        </w:rPr>
                        <w:t>κύκλου εργασιών</w:t>
                      </w:r>
                      <w:r w:rsidRPr="00246A7F">
                        <w:rPr>
                          <w:rFonts w:ascii="Microsoft JhengHei UI" w:eastAsia="Microsoft JhengHei UI" w:hAnsi="Microsoft JhengHei UI" w:cs="+mn-cs" w:hint="eastAsia"/>
                          <w:b/>
                          <w:bCs/>
                          <w:color w:val="000000"/>
                          <w:kern w:val="24"/>
                          <w:sz w:val="28"/>
                          <w:szCs w:val="28"/>
                        </w:rPr>
                        <w:t>: 4</w:t>
                      </w:r>
                      <w:r w:rsidRPr="00246A7F">
                        <w:rPr>
                          <w:rFonts w:ascii="Microsoft JhengHei UI" w:eastAsia="Microsoft JhengHei UI" w:hAnsi="Microsoft JhengHei UI" w:cs="+mn-cs"/>
                          <w:b/>
                          <w:bCs/>
                          <w:color w:val="000000"/>
                          <w:kern w:val="24"/>
                          <w:sz w:val="28"/>
                          <w:szCs w:val="28"/>
                        </w:rPr>
                        <w:t>1</w:t>
                      </w:r>
                      <w:r w:rsidRPr="00246A7F">
                        <w:rPr>
                          <w:rFonts w:ascii="Microsoft JhengHei UI" w:eastAsia="Microsoft JhengHei UI" w:hAnsi="Microsoft JhengHei UI" w:cs="+mn-cs" w:hint="eastAsia"/>
                          <w:b/>
                          <w:bCs/>
                          <w:color w:val="000000"/>
                          <w:kern w:val="24"/>
                          <w:sz w:val="28"/>
                          <w:szCs w:val="28"/>
                        </w:rPr>
                        <w:t>,</w:t>
                      </w:r>
                      <w:r w:rsidRPr="00246A7F">
                        <w:rPr>
                          <w:rFonts w:ascii="Microsoft JhengHei UI" w:eastAsia="Microsoft JhengHei UI" w:hAnsi="Microsoft JhengHei UI" w:cs="+mn-cs"/>
                          <w:b/>
                          <w:bCs/>
                          <w:color w:val="000000"/>
                          <w:kern w:val="24"/>
                          <w:sz w:val="28"/>
                          <w:szCs w:val="28"/>
                        </w:rPr>
                        <w:t>4</w:t>
                      </w:r>
                      <w:r w:rsidRPr="00246A7F">
                        <w:rPr>
                          <w:rFonts w:ascii="Microsoft JhengHei UI" w:eastAsia="Microsoft JhengHei UI" w:hAnsi="Microsoft JhengHei UI" w:cs="+mn-cs" w:hint="eastAsia"/>
                          <w:b/>
                          <w:bCs/>
                          <w:color w:val="000000"/>
                          <w:kern w:val="24"/>
                          <w:sz w:val="28"/>
                          <w:szCs w:val="28"/>
                        </w:rPr>
                        <w:t>%</w:t>
                      </w:r>
                    </w:p>
                  </w:txbxContent>
                </v:textbox>
              </v:shape>
            </w:pict>
          </mc:Fallback>
        </mc:AlternateContent>
      </w:r>
      <w:r w:rsidRPr="00E36734">
        <w:rPr>
          <w:rFonts w:ascii="Times New Roman" w:hAnsi="Times New Roman" w:cs="Times New Roman"/>
          <w:noProof/>
          <w:sz w:val="24"/>
          <w:szCs w:val="24"/>
          <w:lang w:val="en-US"/>
        </w:rPr>
        <w:drawing>
          <wp:inline distT="0" distB="0" distL="0" distR="0" wp14:anchorId="563832C3" wp14:editId="1AF9A436">
            <wp:extent cx="6454140" cy="3505200"/>
            <wp:effectExtent l="0" t="0" r="3810" b="0"/>
            <wp:docPr id="26" name="Γράφημα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94B337" w14:textId="77777777" w:rsidR="00DF32C4" w:rsidRPr="00E36734" w:rsidRDefault="00DF32C4" w:rsidP="00C07136">
      <w:pPr>
        <w:spacing w:after="0" w:line="360" w:lineRule="auto"/>
        <w:jc w:val="both"/>
        <w:rPr>
          <w:rFonts w:ascii="Times New Roman" w:hAnsi="Times New Roman" w:cs="Times New Roman"/>
          <w:sz w:val="24"/>
          <w:szCs w:val="24"/>
        </w:rPr>
      </w:pPr>
    </w:p>
    <w:p w14:paraId="0561B6D7" w14:textId="30B4EFF5" w:rsidR="00246A7F" w:rsidRPr="00E36734" w:rsidRDefault="00246A7F" w:rsidP="00246A7F">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Γράφημα</w:t>
      </w:r>
      <w:r w:rsidR="00A319CA">
        <w:rPr>
          <w:rFonts w:ascii="Times New Roman" w:hAnsi="Times New Roman" w:cs="Times New Roman"/>
          <w:b/>
          <w:sz w:val="24"/>
          <w:szCs w:val="24"/>
        </w:rPr>
        <w:t xml:space="preserve"> 7</w:t>
      </w:r>
    </w:p>
    <w:p w14:paraId="10B00E28" w14:textId="5E57BF22" w:rsidR="00246A7F" w:rsidRPr="00E36734" w:rsidRDefault="00246A7F" w:rsidP="00246A7F">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 xml:space="preserve">Ποσοστό </w:t>
      </w:r>
      <w:r>
        <w:rPr>
          <w:rFonts w:ascii="Times New Roman" w:hAnsi="Times New Roman" w:cs="Times New Roman"/>
          <w:b/>
          <w:sz w:val="24"/>
          <w:szCs w:val="24"/>
        </w:rPr>
        <w:t>αύξησης</w:t>
      </w:r>
      <w:r w:rsidRPr="00E36734">
        <w:rPr>
          <w:rFonts w:ascii="Times New Roman" w:hAnsi="Times New Roman" w:cs="Times New Roman"/>
          <w:b/>
          <w:sz w:val="24"/>
          <w:szCs w:val="24"/>
        </w:rPr>
        <w:t xml:space="preserve"> κύκλου εργασιών</w:t>
      </w:r>
    </w:p>
    <w:p w14:paraId="5A85C4EF" w14:textId="35B6A349" w:rsidR="00246A7F" w:rsidRPr="00DF32C4" w:rsidRDefault="00246A7F" w:rsidP="00DF32C4">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-Βάση</w:t>
      </w:r>
      <w:r w:rsidR="00381DA0">
        <w:rPr>
          <w:rFonts w:ascii="Times New Roman" w:hAnsi="Times New Roman" w:cs="Times New Roman"/>
          <w:b/>
          <w:sz w:val="24"/>
          <w:szCs w:val="24"/>
        </w:rPr>
        <w:t>:</w:t>
      </w:r>
      <w:r w:rsidRPr="00E36734">
        <w:rPr>
          <w:rFonts w:ascii="Times New Roman" w:hAnsi="Times New Roman" w:cs="Times New Roman"/>
          <w:b/>
          <w:sz w:val="24"/>
          <w:szCs w:val="24"/>
        </w:rPr>
        <w:t xml:space="preserve"> επιχειρήσεις που δήλωσαν πως </w:t>
      </w:r>
      <w:r w:rsidRPr="00045567">
        <w:rPr>
          <w:rFonts w:ascii="Times New Roman" w:hAnsi="Times New Roman" w:cs="Times New Roman"/>
          <w:b/>
          <w:sz w:val="24"/>
          <w:szCs w:val="24"/>
        </w:rPr>
        <w:t>αυξήθηκε</w:t>
      </w:r>
      <w:r w:rsidR="00DF32C4" w:rsidRPr="00045567">
        <w:rPr>
          <w:rFonts w:ascii="Times New Roman" w:hAnsi="Times New Roman" w:cs="Times New Roman"/>
          <w:b/>
          <w:sz w:val="24"/>
          <w:szCs w:val="24"/>
        </w:rPr>
        <w:t xml:space="preserve"> ο </w:t>
      </w:r>
      <w:r w:rsidR="00756068" w:rsidRPr="00045567">
        <w:rPr>
          <w:rFonts w:ascii="Times New Roman" w:hAnsi="Times New Roman" w:cs="Times New Roman"/>
          <w:b/>
          <w:noProof/>
          <w:sz w:val="24"/>
          <w:szCs w:val="24"/>
          <w:lang w:eastAsia="el-GR"/>
        </w:rPr>
        <w:t>κύκλος εργασιών</w:t>
      </w:r>
      <w:r w:rsidR="00756068" w:rsidRPr="007720A9">
        <w:rPr>
          <w:rFonts w:ascii="Times New Roman" w:hAnsi="Times New Roman" w:cs="Times New Roman"/>
          <w:noProof/>
          <w:sz w:val="24"/>
          <w:szCs w:val="24"/>
          <w:lang w:eastAsia="el-GR"/>
        </w:rPr>
        <w:t xml:space="preserve">  </w:t>
      </w:r>
      <w:r w:rsidR="00DF32C4">
        <w:rPr>
          <w:rFonts w:ascii="Times New Roman" w:hAnsi="Times New Roman" w:cs="Times New Roman"/>
          <w:b/>
          <w:sz w:val="24"/>
          <w:szCs w:val="24"/>
        </w:rPr>
        <w:t>τους -</w:t>
      </w:r>
    </w:p>
    <w:p w14:paraId="44DC5C2A" w14:textId="1AFDB9ED" w:rsidR="00246A7F" w:rsidRDefault="00246A7F" w:rsidP="00876EEE">
      <w:pPr>
        <w:spacing w:after="0" w:line="360" w:lineRule="auto"/>
        <w:jc w:val="both"/>
        <w:rPr>
          <w:rFonts w:ascii="Times New Roman" w:hAnsi="Times New Roman" w:cs="Times New Roman"/>
          <w:noProof/>
          <w:sz w:val="24"/>
          <w:szCs w:val="24"/>
          <w:highlight w:val="yellow"/>
          <w:lang w:eastAsia="el-GR"/>
        </w:rPr>
      </w:pPr>
      <w:r w:rsidRPr="00E36734">
        <w:rPr>
          <w:noProof/>
          <w:lang w:val="en-US"/>
        </w:rPr>
        <mc:AlternateContent>
          <mc:Choice Requires="wps">
            <w:drawing>
              <wp:anchor distT="0" distB="0" distL="114300" distR="114300" simplePos="0" relativeHeight="251658240" behindDoc="0" locked="0" layoutInCell="1" allowOverlap="1" wp14:anchorId="1FB1761C" wp14:editId="10634704">
                <wp:simplePos x="0" y="0"/>
                <wp:positionH relativeFrom="column">
                  <wp:posOffset>3916045</wp:posOffset>
                </wp:positionH>
                <wp:positionV relativeFrom="paragraph">
                  <wp:posOffset>1482090</wp:posOffset>
                </wp:positionV>
                <wp:extent cx="2156460" cy="815340"/>
                <wp:effectExtent l="0" t="0" r="15240" b="22860"/>
                <wp:wrapNone/>
                <wp:docPr id="23" name="TextBox 4"/>
                <wp:cNvGraphicFramePr/>
                <a:graphic xmlns:a="http://schemas.openxmlformats.org/drawingml/2006/main">
                  <a:graphicData uri="http://schemas.microsoft.com/office/word/2010/wordprocessingShape">
                    <wps:wsp>
                      <wps:cNvSpPr txBox="1"/>
                      <wps:spPr>
                        <a:xfrm>
                          <a:off x="0" y="0"/>
                          <a:ext cx="2156460" cy="815340"/>
                        </a:xfrm>
                        <a:prstGeom prst="rect">
                          <a:avLst/>
                        </a:prstGeom>
                        <a:solidFill>
                          <a:sysClr val="window" lastClr="FFFFFF"/>
                        </a:solidFill>
                        <a:ln w="25400" cap="flat" cmpd="sng" algn="ctr">
                          <a:solidFill>
                            <a:srgbClr val="C0504D"/>
                          </a:solidFill>
                          <a:prstDash val="solid"/>
                        </a:ln>
                        <a:effectLst/>
                      </wps:spPr>
                      <wps:txbx>
                        <w:txbxContent>
                          <w:p w14:paraId="364FCC3A" w14:textId="36E0DE08" w:rsidR="00FA5CFC" w:rsidRPr="00246A7F" w:rsidRDefault="00FA5CFC" w:rsidP="00246A7F">
                            <w:pPr>
                              <w:pStyle w:val="Web"/>
                              <w:spacing w:before="0" w:beforeAutospacing="0" w:after="0" w:afterAutospacing="0" w:line="360" w:lineRule="auto"/>
                              <w:jc w:val="center"/>
                              <w:textAlignment w:val="baseline"/>
                              <w:rPr>
                                <w:sz w:val="28"/>
                                <w:szCs w:val="28"/>
                              </w:rPr>
                            </w:pPr>
                            <w:r w:rsidRPr="00246A7F">
                              <w:rPr>
                                <w:rFonts w:ascii="Microsoft JhengHei UI" w:eastAsia="Microsoft JhengHei UI" w:hAnsi="Microsoft JhengHei UI" w:cs="+mn-cs" w:hint="eastAsia"/>
                                <w:b/>
                                <w:bCs/>
                                <w:color w:val="000000"/>
                                <w:kern w:val="24"/>
                                <w:sz w:val="28"/>
                                <w:szCs w:val="28"/>
                              </w:rPr>
                              <w:t xml:space="preserve">Μ.Ο. αύξησης </w:t>
                            </w:r>
                            <w:r>
                              <w:rPr>
                                <w:rFonts w:ascii="Microsoft JhengHei UI" w:eastAsia="Microsoft JhengHei UI" w:hAnsi="Microsoft JhengHei UI" w:cs="+mn-cs"/>
                                <w:b/>
                                <w:bCs/>
                                <w:color w:val="000000"/>
                                <w:kern w:val="24"/>
                                <w:sz w:val="28"/>
                                <w:szCs w:val="28"/>
                              </w:rPr>
                              <w:t>κύκλος εργασιών</w:t>
                            </w:r>
                            <w:r w:rsidRPr="00246A7F">
                              <w:rPr>
                                <w:rFonts w:ascii="Microsoft JhengHei UI" w:eastAsia="Microsoft JhengHei UI" w:hAnsi="Microsoft JhengHei UI" w:cs="+mn-cs" w:hint="eastAsia"/>
                                <w:b/>
                                <w:bCs/>
                                <w:color w:val="000000"/>
                                <w:kern w:val="24"/>
                                <w:sz w:val="28"/>
                                <w:szCs w:val="28"/>
                              </w:rPr>
                              <w:t xml:space="preserve">: </w:t>
                            </w:r>
                            <w:r w:rsidRPr="00246A7F">
                              <w:rPr>
                                <w:rFonts w:ascii="Microsoft JhengHei UI" w:eastAsia="Microsoft JhengHei UI" w:hAnsi="Microsoft JhengHei UI" w:cs="+mn-cs"/>
                                <w:b/>
                                <w:bCs/>
                                <w:color w:val="000000"/>
                                <w:kern w:val="24"/>
                                <w:sz w:val="28"/>
                                <w:szCs w:val="28"/>
                              </w:rPr>
                              <w:t>27,9</w:t>
                            </w:r>
                            <w:r w:rsidRPr="00246A7F">
                              <w:rPr>
                                <w:rFonts w:ascii="Microsoft JhengHei UI" w:eastAsia="Microsoft JhengHei UI" w:hAnsi="Microsoft JhengHei UI" w:cs="+mn-cs" w:hint="eastAsia"/>
                                <w:b/>
                                <w:bCs/>
                                <w:color w:val="000000"/>
                                <w:kern w:val="24"/>
                                <w:sz w:val="28"/>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B1761C" id="_x0000_s1027" type="#_x0000_t202" style="position:absolute;left:0;text-align:left;margin-left:308.35pt;margin-top:116.7pt;width:169.8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" fillcolor="window" strokecolor="#c0504d" strokeweight="2pt">
                <v:textbox>
                  <w:txbxContent>
                    <w:p w14:paraId="364FCC3A" w14:textId="36E0DE08" w:rsidR="00FA5CFC" w:rsidRPr="00246A7F" w:rsidRDefault="00FA5CFC" w:rsidP="00246A7F">
                      <w:pPr>
                        <w:pStyle w:val="Web"/>
                        <w:spacing w:before="0" w:beforeAutospacing="0" w:after="0" w:afterAutospacing="0" w:line="360" w:lineRule="auto"/>
                        <w:jc w:val="center"/>
                        <w:textAlignment w:val="baseline"/>
                        <w:rPr>
                          <w:sz w:val="28"/>
                          <w:szCs w:val="28"/>
                        </w:rPr>
                      </w:pPr>
                      <w:r w:rsidRPr="00246A7F">
                        <w:rPr>
                          <w:rFonts w:ascii="Microsoft JhengHei UI" w:eastAsia="Microsoft JhengHei UI" w:hAnsi="Microsoft JhengHei UI" w:cs="+mn-cs" w:hint="eastAsia"/>
                          <w:b/>
                          <w:bCs/>
                          <w:color w:val="000000"/>
                          <w:kern w:val="24"/>
                          <w:sz w:val="28"/>
                          <w:szCs w:val="28"/>
                        </w:rPr>
                        <w:t xml:space="preserve">Μ.Ο. αύξησης </w:t>
                      </w:r>
                      <w:r>
                        <w:rPr>
                          <w:rFonts w:ascii="Microsoft JhengHei UI" w:eastAsia="Microsoft JhengHei UI" w:hAnsi="Microsoft JhengHei UI" w:cs="+mn-cs"/>
                          <w:b/>
                          <w:bCs/>
                          <w:color w:val="000000"/>
                          <w:kern w:val="24"/>
                          <w:sz w:val="28"/>
                          <w:szCs w:val="28"/>
                        </w:rPr>
                        <w:t>κύκλος εργασιών</w:t>
                      </w:r>
                      <w:r w:rsidRPr="00246A7F">
                        <w:rPr>
                          <w:rFonts w:ascii="Microsoft JhengHei UI" w:eastAsia="Microsoft JhengHei UI" w:hAnsi="Microsoft JhengHei UI" w:cs="+mn-cs" w:hint="eastAsia"/>
                          <w:b/>
                          <w:bCs/>
                          <w:color w:val="000000"/>
                          <w:kern w:val="24"/>
                          <w:sz w:val="28"/>
                          <w:szCs w:val="28"/>
                        </w:rPr>
                        <w:t xml:space="preserve">: </w:t>
                      </w:r>
                      <w:r w:rsidRPr="00246A7F">
                        <w:rPr>
                          <w:rFonts w:ascii="Microsoft JhengHei UI" w:eastAsia="Microsoft JhengHei UI" w:hAnsi="Microsoft JhengHei UI" w:cs="+mn-cs"/>
                          <w:b/>
                          <w:bCs/>
                          <w:color w:val="000000"/>
                          <w:kern w:val="24"/>
                          <w:sz w:val="28"/>
                          <w:szCs w:val="28"/>
                        </w:rPr>
                        <w:t>27,9</w:t>
                      </w:r>
                      <w:r w:rsidRPr="00246A7F">
                        <w:rPr>
                          <w:rFonts w:ascii="Microsoft JhengHei UI" w:eastAsia="Microsoft JhengHei UI" w:hAnsi="Microsoft JhengHei UI" w:cs="+mn-cs" w:hint="eastAsia"/>
                          <w:b/>
                          <w:bCs/>
                          <w:color w:val="000000"/>
                          <w:kern w:val="24"/>
                          <w:sz w:val="28"/>
                          <w:szCs w:val="28"/>
                        </w:rPr>
                        <w:t>%</w:t>
                      </w:r>
                    </w:p>
                  </w:txbxContent>
                </v:textbox>
              </v:shape>
            </w:pict>
          </mc:Fallback>
        </mc:AlternateContent>
      </w:r>
      <w:r w:rsidRPr="00E36734">
        <w:rPr>
          <w:rFonts w:ascii="Times New Roman" w:hAnsi="Times New Roman" w:cs="Times New Roman"/>
          <w:noProof/>
          <w:sz w:val="24"/>
          <w:szCs w:val="24"/>
          <w:lang w:val="en-US"/>
        </w:rPr>
        <w:drawing>
          <wp:inline distT="0" distB="0" distL="0" distR="0" wp14:anchorId="51733F27" wp14:editId="767E10D7">
            <wp:extent cx="6454140" cy="2743200"/>
            <wp:effectExtent l="0" t="0" r="3810" b="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E66418" w14:textId="77777777" w:rsidR="00246A7F" w:rsidRPr="009F4662" w:rsidRDefault="00246A7F" w:rsidP="00876EEE">
      <w:pPr>
        <w:spacing w:after="0" w:line="360" w:lineRule="auto"/>
        <w:jc w:val="both"/>
        <w:rPr>
          <w:rFonts w:ascii="Times New Roman" w:hAnsi="Times New Roman" w:cs="Times New Roman"/>
          <w:noProof/>
          <w:sz w:val="24"/>
          <w:szCs w:val="24"/>
          <w:lang w:eastAsia="el-GR"/>
        </w:rPr>
      </w:pPr>
    </w:p>
    <w:p w14:paraId="5AA373B7" w14:textId="1A8EF710" w:rsidR="00876EEE" w:rsidRPr="009F4662" w:rsidRDefault="00876EEE" w:rsidP="00876EEE">
      <w:pPr>
        <w:spacing w:after="0" w:line="360" w:lineRule="auto"/>
        <w:jc w:val="both"/>
        <w:rPr>
          <w:rFonts w:ascii="Times New Roman" w:hAnsi="Times New Roman" w:cs="Times New Roman"/>
          <w:noProof/>
          <w:sz w:val="24"/>
          <w:szCs w:val="24"/>
          <w:lang w:eastAsia="el-GR"/>
        </w:rPr>
      </w:pPr>
      <w:r w:rsidRPr="009F4662">
        <w:rPr>
          <w:rFonts w:ascii="Times New Roman" w:hAnsi="Times New Roman" w:cs="Times New Roman"/>
          <w:noProof/>
          <w:sz w:val="24"/>
          <w:szCs w:val="24"/>
          <w:lang w:eastAsia="el-GR"/>
        </w:rPr>
        <w:lastRenderedPageBreak/>
        <w:t>Σημαντικές διαφοροπο</w:t>
      </w:r>
      <w:r w:rsidR="004D3693" w:rsidRPr="009F4662">
        <w:rPr>
          <w:rFonts w:ascii="Times New Roman" w:hAnsi="Times New Roman" w:cs="Times New Roman"/>
          <w:noProof/>
          <w:sz w:val="24"/>
          <w:szCs w:val="24"/>
          <w:lang w:eastAsia="el-GR"/>
        </w:rPr>
        <w:t>ιή</w:t>
      </w:r>
      <w:r w:rsidRPr="009F4662">
        <w:rPr>
          <w:rFonts w:ascii="Times New Roman" w:hAnsi="Times New Roman" w:cs="Times New Roman"/>
          <w:noProof/>
          <w:sz w:val="24"/>
          <w:szCs w:val="24"/>
          <w:lang w:eastAsia="el-GR"/>
        </w:rPr>
        <w:t>σεις καταγράφονται όσον αφορ</w:t>
      </w:r>
      <w:r w:rsidR="004D3693" w:rsidRPr="009F4662">
        <w:rPr>
          <w:rFonts w:ascii="Times New Roman" w:hAnsi="Times New Roman" w:cs="Times New Roman"/>
          <w:noProof/>
          <w:sz w:val="24"/>
          <w:szCs w:val="24"/>
          <w:lang w:eastAsia="el-GR"/>
        </w:rPr>
        <w:t>ά</w:t>
      </w:r>
      <w:r w:rsidRPr="009F4662">
        <w:rPr>
          <w:rFonts w:ascii="Times New Roman" w:hAnsi="Times New Roman" w:cs="Times New Roman"/>
          <w:noProof/>
          <w:sz w:val="24"/>
          <w:szCs w:val="24"/>
          <w:lang w:eastAsia="el-GR"/>
        </w:rPr>
        <w:t xml:space="preserve"> τις επιπτ</w:t>
      </w:r>
      <w:r w:rsidR="004D3693" w:rsidRPr="009F4662">
        <w:rPr>
          <w:rFonts w:ascii="Times New Roman" w:hAnsi="Times New Roman" w:cs="Times New Roman"/>
          <w:noProof/>
          <w:sz w:val="24"/>
          <w:szCs w:val="24"/>
          <w:lang w:eastAsia="el-GR"/>
        </w:rPr>
        <w:t>ώ</w:t>
      </w:r>
      <w:r w:rsidRPr="009F4662">
        <w:rPr>
          <w:rFonts w:ascii="Times New Roman" w:hAnsi="Times New Roman" w:cs="Times New Roman"/>
          <w:noProof/>
          <w:sz w:val="24"/>
          <w:szCs w:val="24"/>
          <w:lang w:eastAsia="el-GR"/>
        </w:rPr>
        <w:t xml:space="preserve">σεις της πανδημίας στον κύκλο εργασίων ανά </w:t>
      </w:r>
      <w:r w:rsidR="007720A9" w:rsidRPr="009F4662">
        <w:rPr>
          <w:rFonts w:ascii="Times New Roman" w:hAnsi="Times New Roman" w:cs="Times New Roman"/>
          <w:noProof/>
          <w:sz w:val="24"/>
          <w:szCs w:val="24"/>
          <w:lang w:eastAsia="el-GR"/>
        </w:rPr>
        <w:t xml:space="preserve">ειδική </w:t>
      </w:r>
      <w:r w:rsidRPr="009F4662">
        <w:rPr>
          <w:rFonts w:ascii="Times New Roman" w:hAnsi="Times New Roman" w:cs="Times New Roman"/>
          <w:noProof/>
          <w:sz w:val="24"/>
          <w:szCs w:val="24"/>
          <w:lang w:eastAsia="el-GR"/>
        </w:rPr>
        <w:t>κατηγορία επιχε</w:t>
      </w:r>
      <w:r w:rsidR="00896E1C">
        <w:rPr>
          <w:rFonts w:ascii="Times New Roman" w:hAnsi="Times New Roman" w:cs="Times New Roman"/>
          <w:noProof/>
          <w:sz w:val="24"/>
          <w:szCs w:val="24"/>
          <w:lang w:eastAsia="el-GR"/>
        </w:rPr>
        <w:t>ι</w:t>
      </w:r>
      <w:r w:rsidRPr="009F4662">
        <w:rPr>
          <w:rFonts w:ascii="Times New Roman" w:hAnsi="Times New Roman" w:cs="Times New Roman"/>
          <w:noProof/>
          <w:sz w:val="24"/>
          <w:szCs w:val="24"/>
          <w:lang w:eastAsia="el-GR"/>
        </w:rPr>
        <w:t>ρ</w:t>
      </w:r>
      <w:r w:rsidR="00896E1C">
        <w:rPr>
          <w:rFonts w:ascii="Times New Roman" w:hAnsi="Times New Roman" w:cs="Times New Roman"/>
          <w:noProof/>
          <w:sz w:val="24"/>
          <w:szCs w:val="24"/>
          <w:lang w:eastAsia="el-GR"/>
        </w:rPr>
        <w:t>ή</w:t>
      </w:r>
      <w:r w:rsidRPr="009F4662">
        <w:rPr>
          <w:rFonts w:ascii="Times New Roman" w:hAnsi="Times New Roman" w:cs="Times New Roman"/>
          <w:noProof/>
          <w:sz w:val="24"/>
          <w:szCs w:val="24"/>
          <w:lang w:eastAsia="el-GR"/>
        </w:rPr>
        <w:t xml:space="preserve">σεων. Στο </w:t>
      </w:r>
      <w:r w:rsidR="00DB4D1C" w:rsidRPr="009F4662">
        <w:rPr>
          <w:rFonts w:ascii="Times New Roman" w:hAnsi="Times New Roman" w:cs="Times New Roman"/>
          <w:noProof/>
          <w:sz w:val="24"/>
          <w:szCs w:val="24"/>
          <w:lang w:eastAsia="el-GR"/>
        </w:rPr>
        <w:t>Πίνακα 2</w:t>
      </w:r>
      <w:r w:rsidRPr="009F4662">
        <w:rPr>
          <w:rFonts w:ascii="Times New Roman" w:hAnsi="Times New Roman" w:cs="Times New Roman"/>
          <w:noProof/>
          <w:sz w:val="24"/>
          <w:szCs w:val="24"/>
          <w:lang w:eastAsia="el-GR"/>
        </w:rPr>
        <w:t xml:space="preserve"> φαίνονται αναλυτικά οι μεταβολές που επήλθαν το </w:t>
      </w:r>
      <w:r w:rsidR="007720A9" w:rsidRPr="009F4662">
        <w:rPr>
          <w:rFonts w:ascii="Times New Roman" w:hAnsi="Times New Roman" w:cs="Times New Roman"/>
          <w:noProof/>
          <w:sz w:val="24"/>
          <w:szCs w:val="24"/>
          <w:lang w:eastAsia="el-GR"/>
        </w:rPr>
        <w:t>Α</w:t>
      </w:r>
      <w:r w:rsidR="00F90F82">
        <w:rPr>
          <w:rFonts w:ascii="Times New Roman" w:hAnsi="Times New Roman" w:cs="Times New Roman"/>
          <w:noProof/>
          <w:sz w:val="24"/>
          <w:szCs w:val="24"/>
          <w:lang w:eastAsia="el-GR"/>
        </w:rPr>
        <w:t>’</w:t>
      </w:r>
      <w:r w:rsidRPr="009F4662">
        <w:rPr>
          <w:rFonts w:ascii="Times New Roman" w:hAnsi="Times New Roman" w:cs="Times New Roman"/>
          <w:noProof/>
          <w:sz w:val="24"/>
          <w:szCs w:val="24"/>
          <w:lang w:eastAsia="el-GR"/>
        </w:rPr>
        <w:t xml:space="preserve"> εξάμηνο του 202</w:t>
      </w:r>
      <w:r w:rsidR="007720A9" w:rsidRPr="009F4662">
        <w:rPr>
          <w:rFonts w:ascii="Times New Roman" w:hAnsi="Times New Roman" w:cs="Times New Roman"/>
          <w:noProof/>
          <w:sz w:val="24"/>
          <w:szCs w:val="24"/>
          <w:lang w:eastAsia="el-GR"/>
        </w:rPr>
        <w:t>1</w:t>
      </w:r>
      <w:r w:rsidRPr="009F4662">
        <w:rPr>
          <w:rFonts w:ascii="Times New Roman" w:hAnsi="Times New Roman" w:cs="Times New Roman"/>
          <w:noProof/>
          <w:sz w:val="24"/>
          <w:szCs w:val="24"/>
          <w:lang w:eastAsia="el-GR"/>
        </w:rPr>
        <w:t xml:space="preserve">. Τις μεγαλύτερες απώλειες στον κύκλο εργασιών τους κατέγραψαν </w:t>
      </w:r>
      <w:bookmarkStart w:id="5" w:name="_Hlk68245928"/>
      <w:r w:rsidR="00514FFC" w:rsidRPr="009F4662">
        <w:rPr>
          <w:rFonts w:ascii="Times New Roman" w:hAnsi="Times New Roman" w:cs="Times New Roman"/>
          <w:noProof/>
          <w:sz w:val="24"/>
          <w:szCs w:val="24"/>
          <w:lang w:eastAsia="el-GR"/>
        </w:rPr>
        <w:t>οι επιχειρήσεις που ανέστειλαν την λειτουργία τους με κρατική εντολή</w:t>
      </w:r>
      <w:r w:rsidR="00274A97" w:rsidRPr="009F4662">
        <w:rPr>
          <w:rFonts w:ascii="Times New Roman" w:hAnsi="Times New Roman" w:cs="Times New Roman"/>
          <w:noProof/>
          <w:sz w:val="24"/>
          <w:szCs w:val="24"/>
          <w:lang w:eastAsia="el-GR"/>
        </w:rPr>
        <w:t xml:space="preserve"> με μεσοσταθμική μείωση τζίρου</w:t>
      </w:r>
      <w:r w:rsidR="00514FFC" w:rsidRPr="009F4662">
        <w:rPr>
          <w:rFonts w:ascii="Times New Roman" w:hAnsi="Times New Roman" w:cs="Times New Roman"/>
          <w:noProof/>
          <w:sz w:val="24"/>
          <w:szCs w:val="24"/>
          <w:lang w:eastAsia="el-GR"/>
        </w:rPr>
        <w:t xml:space="preserve"> </w:t>
      </w:r>
      <w:r w:rsidR="007720A9" w:rsidRPr="009F4662">
        <w:rPr>
          <w:rFonts w:ascii="Times New Roman" w:hAnsi="Times New Roman" w:cs="Times New Roman"/>
          <w:noProof/>
          <w:sz w:val="24"/>
          <w:szCs w:val="24"/>
          <w:lang w:eastAsia="el-GR"/>
        </w:rPr>
        <w:t>30,3</w:t>
      </w:r>
      <w:r w:rsidR="00514FFC" w:rsidRPr="009F4662">
        <w:rPr>
          <w:rFonts w:ascii="Times New Roman" w:hAnsi="Times New Roman" w:cs="Times New Roman"/>
          <w:noProof/>
          <w:sz w:val="24"/>
          <w:szCs w:val="24"/>
          <w:lang w:eastAsia="el-GR"/>
        </w:rPr>
        <w:t>% και οι επιχειρήσεις εστίασης</w:t>
      </w:r>
      <w:r w:rsidR="00274A97" w:rsidRPr="009F4662">
        <w:rPr>
          <w:rFonts w:ascii="Times New Roman" w:hAnsi="Times New Roman" w:cs="Times New Roman"/>
          <w:noProof/>
          <w:sz w:val="24"/>
          <w:szCs w:val="24"/>
          <w:lang w:eastAsia="el-GR"/>
        </w:rPr>
        <w:t xml:space="preserve"> με μεσοσταθμική μείωση τζίρου</w:t>
      </w:r>
      <w:r w:rsidR="00514FFC" w:rsidRPr="009F4662">
        <w:rPr>
          <w:rFonts w:ascii="Times New Roman" w:hAnsi="Times New Roman" w:cs="Times New Roman"/>
          <w:noProof/>
          <w:sz w:val="24"/>
          <w:szCs w:val="24"/>
          <w:lang w:eastAsia="el-GR"/>
        </w:rPr>
        <w:t xml:space="preserve"> </w:t>
      </w:r>
      <w:r w:rsidR="007720A9" w:rsidRPr="009F4662">
        <w:rPr>
          <w:rFonts w:ascii="Times New Roman" w:hAnsi="Times New Roman" w:cs="Times New Roman"/>
          <w:noProof/>
          <w:sz w:val="24"/>
          <w:szCs w:val="24"/>
          <w:lang w:eastAsia="el-GR"/>
        </w:rPr>
        <w:t>31,8</w:t>
      </w:r>
      <w:r w:rsidR="00514FFC" w:rsidRPr="009F4662">
        <w:rPr>
          <w:rFonts w:ascii="Times New Roman" w:hAnsi="Times New Roman" w:cs="Times New Roman"/>
          <w:noProof/>
          <w:sz w:val="24"/>
          <w:szCs w:val="24"/>
          <w:lang w:eastAsia="el-GR"/>
        </w:rPr>
        <w:t>%</w:t>
      </w:r>
      <w:bookmarkEnd w:id="5"/>
      <w:r w:rsidR="00514FFC" w:rsidRPr="009F4662">
        <w:rPr>
          <w:rFonts w:ascii="Times New Roman" w:hAnsi="Times New Roman" w:cs="Times New Roman"/>
          <w:noProof/>
          <w:sz w:val="24"/>
          <w:szCs w:val="24"/>
          <w:lang w:eastAsia="el-GR"/>
        </w:rPr>
        <w:t>. Από την άλλη μεριά</w:t>
      </w:r>
      <w:r w:rsidR="00381DA0">
        <w:rPr>
          <w:rFonts w:ascii="Times New Roman" w:hAnsi="Times New Roman" w:cs="Times New Roman"/>
          <w:noProof/>
          <w:sz w:val="24"/>
          <w:szCs w:val="24"/>
          <w:lang w:eastAsia="el-GR"/>
        </w:rPr>
        <w:t>,</w:t>
      </w:r>
      <w:r w:rsidR="00514FFC" w:rsidRPr="009F4662">
        <w:rPr>
          <w:rFonts w:ascii="Times New Roman" w:hAnsi="Times New Roman" w:cs="Times New Roman"/>
          <w:noProof/>
          <w:sz w:val="24"/>
          <w:szCs w:val="24"/>
          <w:lang w:eastAsia="el-GR"/>
        </w:rPr>
        <w:t xml:space="preserve"> τις μικρότερες απώλειες κατέγραψαν οι επιχε</w:t>
      </w:r>
      <w:r w:rsidR="004D3693" w:rsidRPr="009F4662">
        <w:rPr>
          <w:rFonts w:ascii="Times New Roman" w:hAnsi="Times New Roman" w:cs="Times New Roman"/>
          <w:noProof/>
          <w:sz w:val="24"/>
          <w:szCs w:val="24"/>
          <w:lang w:eastAsia="el-GR"/>
        </w:rPr>
        <w:t>ι</w:t>
      </w:r>
      <w:r w:rsidR="00514FFC" w:rsidRPr="009F4662">
        <w:rPr>
          <w:rFonts w:ascii="Times New Roman" w:hAnsi="Times New Roman" w:cs="Times New Roman"/>
          <w:noProof/>
          <w:sz w:val="24"/>
          <w:szCs w:val="24"/>
          <w:lang w:eastAsia="el-GR"/>
        </w:rPr>
        <w:t>ρ</w:t>
      </w:r>
      <w:r w:rsidR="004D3693" w:rsidRPr="009F4662">
        <w:rPr>
          <w:rFonts w:ascii="Times New Roman" w:hAnsi="Times New Roman" w:cs="Times New Roman"/>
          <w:noProof/>
          <w:sz w:val="24"/>
          <w:szCs w:val="24"/>
          <w:lang w:eastAsia="el-GR"/>
        </w:rPr>
        <w:t>ή</w:t>
      </w:r>
      <w:r w:rsidR="00514FFC" w:rsidRPr="009F4662">
        <w:rPr>
          <w:rFonts w:ascii="Times New Roman" w:hAnsi="Times New Roman" w:cs="Times New Roman"/>
          <w:noProof/>
          <w:sz w:val="24"/>
          <w:szCs w:val="24"/>
          <w:lang w:eastAsia="el-GR"/>
        </w:rPr>
        <w:t xml:space="preserve">σεις που δεν </w:t>
      </w:r>
      <w:r w:rsidR="004D3693" w:rsidRPr="009F4662">
        <w:rPr>
          <w:rFonts w:ascii="Times New Roman" w:hAnsi="Times New Roman" w:cs="Times New Roman"/>
          <w:noProof/>
          <w:sz w:val="24"/>
          <w:szCs w:val="24"/>
          <w:lang w:eastAsia="el-GR"/>
        </w:rPr>
        <w:t>α</w:t>
      </w:r>
      <w:r w:rsidR="00514FFC" w:rsidRPr="009F4662">
        <w:rPr>
          <w:rFonts w:ascii="Times New Roman" w:hAnsi="Times New Roman" w:cs="Times New Roman"/>
          <w:noProof/>
          <w:sz w:val="24"/>
          <w:szCs w:val="24"/>
          <w:lang w:eastAsia="el-GR"/>
        </w:rPr>
        <w:t>ν</w:t>
      </w:r>
      <w:r w:rsidR="004D3693" w:rsidRPr="009F4662">
        <w:rPr>
          <w:rFonts w:ascii="Times New Roman" w:hAnsi="Times New Roman" w:cs="Times New Roman"/>
          <w:noProof/>
          <w:sz w:val="24"/>
          <w:szCs w:val="24"/>
          <w:lang w:eastAsia="el-GR"/>
        </w:rPr>
        <w:t>ή</w:t>
      </w:r>
      <w:r w:rsidR="00514FFC" w:rsidRPr="009F4662">
        <w:rPr>
          <w:rFonts w:ascii="Times New Roman" w:hAnsi="Times New Roman" w:cs="Times New Roman"/>
          <w:noProof/>
          <w:sz w:val="24"/>
          <w:szCs w:val="24"/>
          <w:lang w:eastAsia="el-GR"/>
        </w:rPr>
        <w:t>καν ο</w:t>
      </w:r>
      <w:r w:rsidR="00655A77" w:rsidRPr="009F4662">
        <w:rPr>
          <w:rFonts w:ascii="Times New Roman" w:hAnsi="Times New Roman" w:cs="Times New Roman"/>
          <w:noProof/>
          <w:sz w:val="24"/>
          <w:szCs w:val="24"/>
          <w:lang w:eastAsia="el-GR"/>
        </w:rPr>
        <w:t>ύ</w:t>
      </w:r>
      <w:r w:rsidR="00514FFC" w:rsidRPr="009F4662">
        <w:rPr>
          <w:rFonts w:ascii="Times New Roman" w:hAnsi="Times New Roman" w:cs="Times New Roman"/>
          <w:noProof/>
          <w:sz w:val="24"/>
          <w:szCs w:val="24"/>
          <w:lang w:eastAsia="el-GR"/>
        </w:rPr>
        <w:t>τε σε αυτές που αν</w:t>
      </w:r>
      <w:r w:rsidR="00655A77" w:rsidRPr="009F4662">
        <w:rPr>
          <w:rFonts w:ascii="Times New Roman" w:hAnsi="Times New Roman" w:cs="Times New Roman"/>
          <w:noProof/>
          <w:sz w:val="24"/>
          <w:szCs w:val="24"/>
          <w:lang w:eastAsia="el-GR"/>
        </w:rPr>
        <w:t>έ</w:t>
      </w:r>
      <w:r w:rsidR="00514FFC" w:rsidRPr="009F4662">
        <w:rPr>
          <w:rFonts w:ascii="Times New Roman" w:hAnsi="Times New Roman" w:cs="Times New Roman"/>
          <w:noProof/>
          <w:sz w:val="24"/>
          <w:szCs w:val="24"/>
          <w:lang w:eastAsia="el-GR"/>
        </w:rPr>
        <w:t>στειλαν την λειτουργία τους με κρατική εντολή ο</w:t>
      </w:r>
      <w:r w:rsidR="00655A77" w:rsidRPr="009F4662">
        <w:rPr>
          <w:rFonts w:ascii="Times New Roman" w:hAnsi="Times New Roman" w:cs="Times New Roman"/>
          <w:noProof/>
          <w:sz w:val="24"/>
          <w:szCs w:val="24"/>
          <w:lang w:eastAsia="el-GR"/>
        </w:rPr>
        <w:t>ύ</w:t>
      </w:r>
      <w:r w:rsidR="00514FFC" w:rsidRPr="009F4662">
        <w:rPr>
          <w:rFonts w:ascii="Times New Roman" w:hAnsi="Times New Roman" w:cs="Times New Roman"/>
          <w:noProof/>
          <w:sz w:val="24"/>
          <w:szCs w:val="24"/>
          <w:lang w:eastAsia="el-GR"/>
        </w:rPr>
        <w:t xml:space="preserve">τε και </w:t>
      </w:r>
      <w:r w:rsidR="00274A97" w:rsidRPr="009F4662">
        <w:rPr>
          <w:rFonts w:ascii="Times New Roman" w:hAnsi="Times New Roman" w:cs="Times New Roman"/>
          <w:noProof/>
          <w:sz w:val="24"/>
          <w:szCs w:val="24"/>
          <w:lang w:eastAsia="el-GR"/>
        </w:rPr>
        <w:t>στις</w:t>
      </w:r>
      <w:r w:rsidR="00514FFC" w:rsidRPr="009F4662">
        <w:rPr>
          <w:rFonts w:ascii="Times New Roman" w:hAnsi="Times New Roman" w:cs="Times New Roman"/>
          <w:noProof/>
          <w:sz w:val="24"/>
          <w:szCs w:val="24"/>
          <w:lang w:eastAsia="el-GR"/>
        </w:rPr>
        <w:t xml:space="preserve"> πληττόμενες</w:t>
      </w:r>
      <w:r w:rsidR="007720A9" w:rsidRPr="009F4662">
        <w:rPr>
          <w:rFonts w:ascii="Times New Roman" w:hAnsi="Times New Roman" w:cs="Times New Roman"/>
          <w:noProof/>
          <w:sz w:val="24"/>
          <w:szCs w:val="24"/>
          <w:lang w:eastAsia="el-GR"/>
        </w:rPr>
        <w:t xml:space="preserve"> με μεσοσταθμική μείωση του τζίρου τους μόλις κατά 4,2%</w:t>
      </w:r>
      <w:r w:rsidR="00514FFC" w:rsidRPr="009F4662">
        <w:rPr>
          <w:rFonts w:ascii="Times New Roman" w:hAnsi="Times New Roman" w:cs="Times New Roman"/>
          <w:noProof/>
          <w:sz w:val="24"/>
          <w:szCs w:val="24"/>
          <w:lang w:eastAsia="el-GR"/>
        </w:rPr>
        <w:t xml:space="preserve">. </w:t>
      </w:r>
    </w:p>
    <w:p w14:paraId="3A9F510F" w14:textId="4BA8268A" w:rsidR="001D0622" w:rsidRDefault="00514FFC" w:rsidP="00876EEE">
      <w:pPr>
        <w:spacing w:after="0" w:line="360" w:lineRule="auto"/>
        <w:jc w:val="both"/>
        <w:rPr>
          <w:rFonts w:ascii="Times New Roman" w:hAnsi="Times New Roman" w:cs="Times New Roman"/>
          <w:noProof/>
          <w:sz w:val="24"/>
          <w:szCs w:val="24"/>
          <w:lang w:eastAsia="el-GR"/>
        </w:rPr>
      </w:pPr>
      <w:r w:rsidRPr="009F4662">
        <w:rPr>
          <w:rFonts w:ascii="Times New Roman" w:hAnsi="Times New Roman" w:cs="Times New Roman"/>
          <w:noProof/>
          <w:sz w:val="24"/>
          <w:szCs w:val="24"/>
          <w:lang w:eastAsia="el-GR"/>
        </w:rPr>
        <w:t>Θα πρ</w:t>
      </w:r>
      <w:r w:rsidR="004D3693" w:rsidRPr="009F4662">
        <w:rPr>
          <w:rFonts w:ascii="Times New Roman" w:hAnsi="Times New Roman" w:cs="Times New Roman"/>
          <w:noProof/>
          <w:sz w:val="24"/>
          <w:szCs w:val="24"/>
          <w:lang w:eastAsia="el-GR"/>
        </w:rPr>
        <w:t>έ</w:t>
      </w:r>
      <w:r w:rsidRPr="009F4662">
        <w:rPr>
          <w:rFonts w:ascii="Times New Roman" w:hAnsi="Times New Roman" w:cs="Times New Roman"/>
          <w:noProof/>
          <w:sz w:val="24"/>
          <w:szCs w:val="24"/>
          <w:lang w:eastAsia="el-GR"/>
        </w:rPr>
        <w:t>πε</w:t>
      </w:r>
      <w:r w:rsidR="004D3693" w:rsidRPr="009F4662">
        <w:rPr>
          <w:rFonts w:ascii="Times New Roman" w:hAnsi="Times New Roman" w:cs="Times New Roman"/>
          <w:noProof/>
          <w:sz w:val="24"/>
          <w:szCs w:val="24"/>
          <w:lang w:eastAsia="el-GR"/>
        </w:rPr>
        <w:t>ι</w:t>
      </w:r>
      <w:r w:rsidRPr="009F4662">
        <w:rPr>
          <w:rFonts w:ascii="Times New Roman" w:hAnsi="Times New Roman" w:cs="Times New Roman"/>
          <w:noProof/>
          <w:sz w:val="24"/>
          <w:szCs w:val="24"/>
          <w:lang w:eastAsia="el-GR"/>
        </w:rPr>
        <w:t xml:space="preserve"> να σημειωθεί ότι τα παραπάνω ποσοστά αφορο</w:t>
      </w:r>
      <w:r w:rsidR="00547F34" w:rsidRPr="009F4662">
        <w:rPr>
          <w:rFonts w:ascii="Times New Roman" w:hAnsi="Times New Roman" w:cs="Times New Roman"/>
          <w:noProof/>
          <w:sz w:val="24"/>
          <w:szCs w:val="24"/>
          <w:lang w:eastAsia="el-GR"/>
        </w:rPr>
        <w:t>ύ</w:t>
      </w:r>
      <w:r w:rsidRPr="009F4662">
        <w:rPr>
          <w:rFonts w:ascii="Times New Roman" w:hAnsi="Times New Roman" w:cs="Times New Roman"/>
          <w:noProof/>
          <w:sz w:val="24"/>
          <w:szCs w:val="24"/>
          <w:lang w:eastAsia="el-GR"/>
        </w:rPr>
        <w:t>ν το μέσο όρο μείωσης του κύκλου εργασ</w:t>
      </w:r>
      <w:r w:rsidR="004D3693" w:rsidRPr="009F4662">
        <w:rPr>
          <w:rFonts w:ascii="Times New Roman" w:hAnsi="Times New Roman" w:cs="Times New Roman"/>
          <w:noProof/>
          <w:sz w:val="24"/>
          <w:szCs w:val="24"/>
          <w:lang w:eastAsia="el-GR"/>
        </w:rPr>
        <w:t>ιώ</w:t>
      </w:r>
      <w:r w:rsidRPr="009F4662">
        <w:rPr>
          <w:rFonts w:ascii="Times New Roman" w:hAnsi="Times New Roman" w:cs="Times New Roman"/>
          <w:noProof/>
          <w:sz w:val="24"/>
          <w:szCs w:val="24"/>
          <w:lang w:eastAsia="el-GR"/>
        </w:rPr>
        <w:t>ν στο σύνολο των αν</w:t>
      </w:r>
      <w:r w:rsidR="00547F34" w:rsidRPr="009F4662">
        <w:rPr>
          <w:rFonts w:ascii="Times New Roman" w:hAnsi="Times New Roman" w:cs="Times New Roman"/>
          <w:noProof/>
          <w:sz w:val="24"/>
          <w:szCs w:val="24"/>
          <w:lang w:eastAsia="el-GR"/>
        </w:rPr>
        <w:t>ά</w:t>
      </w:r>
      <w:r w:rsidRPr="009F4662">
        <w:rPr>
          <w:rFonts w:ascii="Times New Roman" w:hAnsi="Times New Roman" w:cs="Times New Roman"/>
          <w:noProof/>
          <w:sz w:val="24"/>
          <w:szCs w:val="24"/>
          <w:lang w:eastAsia="el-GR"/>
        </w:rPr>
        <w:t xml:space="preserve"> κατ</w:t>
      </w:r>
      <w:r w:rsidR="004D3693" w:rsidRPr="009F4662">
        <w:rPr>
          <w:rFonts w:ascii="Times New Roman" w:hAnsi="Times New Roman" w:cs="Times New Roman"/>
          <w:noProof/>
          <w:sz w:val="24"/>
          <w:szCs w:val="24"/>
          <w:lang w:eastAsia="el-GR"/>
        </w:rPr>
        <w:t>η</w:t>
      </w:r>
      <w:r w:rsidRPr="009F4662">
        <w:rPr>
          <w:rFonts w:ascii="Times New Roman" w:hAnsi="Times New Roman" w:cs="Times New Roman"/>
          <w:noProof/>
          <w:sz w:val="24"/>
          <w:szCs w:val="24"/>
          <w:lang w:eastAsia="el-GR"/>
        </w:rPr>
        <w:t>γορία επιχειρήσεων. Με βάση αυτ</w:t>
      </w:r>
      <w:r w:rsidR="00274A97" w:rsidRPr="009F4662">
        <w:rPr>
          <w:rFonts w:ascii="Times New Roman" w:hAnsi="Times New Roman" w:cs="Times New Roman"/>
          <w:noProof/>
          <w:sz w:val="24"/>
          <w:szCs w:val="24"/>
          <w:lang w:eastAsia="el-GR"/>
        </w:rPr>
        <w:t>ά</w:t>
      </w:r>
      <w:r w:rsidR="00381DA0">
        <w:rPr>
          <w:rFonts w:ascii="Times New Roman" w:hAnsi="Times New Roman" w:cs="Times New Roman"/>
          <w:noProof/>
          <w:sz w:val="24"/>
          <w:szCs w:val="24"/>
          <w:lang w:eastAsia="el-GR"/>
        </w:rPr>
        <w:t>,</w:t>
      </w:r>
      <w:r w:rsidRPr="009F4662">
        <w:rPr>
          <w:rFonts w:ascii="Times New Roman" w:hAnsi="Times New Roman" w:cs="Times New Roman"/>
          <w:noProof/>
          <w:sz w:val="24"/>
          <w:szCs w:val="24"/>
          <w:lang w:eastAsia="el-GR"/>
        </w:rPr>
        <w:t xml:space="preserve"> εάν εξετάσουμε τα ποσοστά </w:t>
      </w:r>
      <w:r w:rsidR="004F497A" w:rsidRPr="009F4662">
        <w:rPr>
          <w:rFonts w:ascii="Times New Roman" w:hAnsi="Times New Roman" w:cs="Times New Roman"/>
          <w:noProof/>
          <w:sz w:val="24"/>
          <w:szCs w:val="24"/>
          <w:lang w:eastAsia="el-GR"/>
        </w:rPr>
        <w:t>πτώσης</w:t>
      </w:r>
      <w:r w:rsidRPr="009F4662">
        <w:rPr>
          <w:rFonts w:ascii="Times New Roman" w:hAnsi="Times New Roman" w:cs="Times New Roman"/>
          <w:noProof/>
          <w:sz w:val="24"/>
          <w:szCs w:val="24"/>
          <w:lang w:eastAsia="el-GR"/>
        </w:rPr>
        <w:t xml:space="preserve"> του τζίρου των επιχειρήσεων εκείνων που δήλωσαν</w:t>
      </w:r>
      <w:r w:rsidR="004F497A" w:rsidRPr="009F4662">
        <w:rPr>
          <w:rFonts w:ascii="Times New Roman" w:hAnsi="Times New Roman" w:cs="Times New Roman"/>
          <w:noProof/>
          <w:sz w:val="24"/>
          <w:szCs w:val="24"/>
          <w:lang w:eastAsia="el-GR"/>
        </w:rPr>
        <w:t xml:space="preserve"> μείωση </w:t>
      </w:r>
      <w:r w:rsidR="009F4662" w:rsidRPr="009F4662">
        <w:rPr>
          <w:rFonts w:ascii="Times New Roman" w:hAnsi="Times New Roman" w:cs="Times New Roman"/>
          <w:noProof/>
          <w:sz w:val="24"/>
          <w:szCs w:val="24"/>
          <w:lang w:eastAsia="el-GR"/>
        </w:rPr>
        <w:t xml:space="preserve">ή αύξηση </w:t>
      </w:r>
      <w:r w:rsidR="004F497A" w:rsidRPr="009F4662">
        <w:rPr>
          <w:rFonts w:ascii="Times New Roman" w:hAnsi="Times New Roman" w:cs="Times New Roman"/>
          <w:noProof/>
          <w:sz w:val="24"/>
          <w:szCs w:val="24"/>
          <w:lang w:eastAsia="el-GR"/>
        </w:rPr>
        <w:t>του κύκλου εργασιών τους</w:t>
      </w:r>
      <w:r w:rsidR="00381DA0">
        <w:rPr>
          <w:rFonts w:ascii="Times New Roman" w:hAnsi="Times New Roman" w:cs="Times New Roman"/>
          <w:noProof/>
          <w:sz w:val="24"/>
          <w:szCs w:val="24"/>
          <w:lang w:eastAsia="el-GR"/>
        </w:rPr>
        <w:t xml:space="preserve">, </w:t>
      </w:r>
      <w:r w:rsidR="004F497A" w:rsidRPr="009F4662">
        <w:rPr>
          <w:rFonts w:ascii="Times New Roman" w:hAnsi="Times New Roman" w:cs="Times New Roman"/>
          <w:noProof/>
          <w:sz w:val="24"/>
          <w:szCs w:val="24"/>
          <w:lang w:eastAsia="el-GR"/>
        </w:rPr>
        <w:t xml:space="preserve">το </w:t>
      </w:r>
      <w:r w:rsidR="009F4662" w:rsidRPr="009F4662">
        <w:rPr>
          <w:rFonts w:ascii="Times New Roman" w:hAnsi="Times New Roman" w:cs="Times New Roman"/>
          <w:noProof/>
          <w:sz w:val="24"/>
          <w:szCs w:val="24"/>
          <w:lang w:eastAsia="el-GR"/>
        </w:rPr>
        <w:t>Α</w:t>
      </w:r>
      <w:r w:rsidR="00381DA0">
        <w:rPr>
          <w:rFonts w:ascii="Times New Roman" w:hAnsi="Times New Roman" w:cs="Times New Roman"/>
          <w:noProof/>
          <w:sz w:val="24"/>
          <w:szCs w:val="24"/>
          <w:lang w:eastAsia="el-GR"/>
        </w:rPr>
        <w:t>’</w:t>
      </w:r>
      <w:r w:rsidR="004F497A" w:rsidRPr="009F4662">
        <w:rPr>
          <w:rFonts w:ascii="Times New Roman" w:hAnsi="Times New Roman" w:cs="Times New Roman"/>
          <w:noProof/>
          <w:sz w:val="24"/>
          <w:szCs w:val="24"/>
          <w:lang w:eastAsia="el-GR"/>
        </w:rPr>
        <w:t xml:space="preserve"> εξάμηνο</w:t>
      </w:r>
      <w:r w:rsidR="009F4662" w:rsidRPr="009F4662">
        <w:rPr>
          <w:rFonts w:ascii="Times New Roman" w:hAnsi="Times New Roman" w:cs="Times New Roman"/>
          <w:noProof/>
          <w:sz w:val="24"/>
          <w:szCs w:val="24"/>
          <w:lang w:eastAsia="el-GR"/>
        </w:rPr>
        <w:t xml:space="preserve"> του 2021 </w:t>
      </w:r>
      <w:r w:rsidR="004F497A" w:rsidRPr="009F4662">
        <w:rPr>
          <w:rFonts w:ascii="Times New Roman" w:hAnsi="Times New Roman" w:cs="Times New Roman"/>
          <w:noProof/>
          <w:sz w:val="24"/>
          <w:szCs w:val="24"/>
          <w:lang w:eastAsia="el-GR"/>
        </w:rPr>
        <w:t>παρατηρούνται επίσης σημαντικές διαφοροποι</w:t>
      </w:r>
      <w:r w:rsidR="004D3693" w:rsidRPr="009F4662">
        <w:rPr>
          <w:rFonts w:ascii="Times New Roman" w:hAnsi="Times New Roman" w:cs="Times New Roman"/>
          <w:noProof/>
          <w:sz w:val="24"/>
          <w:szCs w:val="24"/>
          <w:lang w:eastAsia="el-GR"/>
        </w:rPr>
        <w:t>ή</w:t>
      </w:r>
      <w:r w:rsidR="004F497A" w:rsidRPr="009F4662">
        <w:rPr>
          <w:rFonts w:ascii="Times New Roman" w:hAnsi="Times New Roman" w:cs="Times New Roman"/>
          <w:noProof/>
          <w:sz w:val="24"/>
          <w:szCs w:val="24"/>
          <w:lang w:eastAsia="el-GR"/>
        </w:rPr>
        <w:t xml:space="preserve">σεις </w:t>
      </w:r>
      <w:r w:rsidR="009F4662" w:rsidRPr="009F4662">
        <w:rPr>
          <w:rFonts w:ascii="Times New Roman" w:hAnsi="Times New Roman" w:cs="Times New Roman"/>
          <w:noProof/>
          <w:sz w:val="24"/>
          <w:szCs w:val="24"/>
          <w:lang w:eastAsia="el-GR"/>
        </w:rPr>
        <w:t>όχι μόνο ανα κατηγ</w:t>
      </w:r>
      <w:r w:rsidR="00381DA0">
        <w:rPr>
          <w:rFonts w:ascii="Times New Roman" w:hAnsi="Times New Roman" w:cs="Times New Roman"/>
          <w:noProof/>
          <w:sz w:val="24"/>
          <w:szCs w:val="24"/>
          <w:lang w:eastAsia="el-GR"/>
        </w:rPr>
        <w:t>ο</w:t>
      </w:r>
      <w:r w:rsidR="009F4662" w:rsidRPr="009F4662">
        <w:rPr>
          <w:rFonts w:ascii="Times New Roman" w:hAnsi="Times New Roman" w:cs="Times New Roman"/>
          <w:noProof/>
          <w:sz w:val="24"/>
          <w:szCs w:val="24"/>
          <w:lang w:eastAsia="el-GR"/>
        </w:rPr>
        <w:t>ρία αλλα και μεταξύ των ίδων κατηγορι</w:t>
      </w:r>
      <w:r w:rsidR="00756068">
        <w:rPr>
          <w:rFonts w:ascii="Times New Roman" w:hAnsi="Times New Roman" w:cs="Times New Roman"/>
          <w:noProof/>
          <w:sz w:val="24"/>
          <w:szCs w:val="24"/>
          <w:lang w:eastAsia="el-GR"/>
        </w:rPr>
        <w:t>ώ</w:t>
      </w:r>
      <w:r w:rsidR="009F4662" w:rsidRPr="009F4662">
        <w:rPr>
          <w:rFonts w:ascii="Times New Roman" w:hAnsi="Times New Roman" w:cs="Times New Roman"/>
          <w:noProof/>
          <w:sz w:val="24"/>
          <w:szCs w:val="24"/>
          <w:lang w:eastAsia="el-GR"/>
        </w:rPr>
        <w:t>ν</w:t>
      </w:r>
      <w:r w:rsidR="009F4662">
        <w:rPr>
          <w:rFonts w:ascii="Times New Roman" w:hAnsi="Times New Roman" w:cs="Times New Roman"/>
          <w:noProof/>
          <w:sz w:val="24"/>
          <w:szCs w:val="24"/>
          <w:lang w:eastAsia="el-GR"/>
        </w:rPr>
        <w:t xml:space="preserve">, κάτι που υποδηλώνει πως τα μέτρα στήριξης δεν ήταν κατάλληλα στοχευμένα για αρκετές περιπτώσεις.  </w:t>
      </w:r>
    </w:p>
    <w:p w14:paraId="3FE5B51A" w14:textId="7ADFCDDF" w:rsidR="00A9257F" w:rsidRPr="00E36734" w:rsidRDefault="00A9257F" w:rsidP="00DF32C4">
      <w:pPr>
        <w:spacing w:after="0" w:line="360" w:lineRule="auto"/>
        <w:rPr>
          <w:rFonts w:ascii="Times New Roman" w:hAnsi="Times New Roman" w:cs="Times New Roman"/>
          <w:b/>
          <w:sz w:val="24"/>
          <w:szCs w:val="24"/>
        </w:rPr>
      </w:pPr>
    </w:p>
    <w:tbl>
      <w:tblPr>
        <w:tblW w:w="5000" w:type="pct"/>
        <w:tblLook w:val="04A0" w:firstRow="1" w:lastRow="0" w:firstColumn="1" w:lastColumn="0" w:noHBand="0" w:noVBand="1"/>
      </w:tblPr>
      <w:tblGrid>
        <w:gridCol w:w="3025"/>
        <w:gridCol w:w="877"/>
        <w:gridCol w:w="932"/>
        <w:gridCol w:w="1181"/>
        <w:gridCol w:w="1576"/>
        <w:gridCol w:w="1344"/>
        <w:gridCol w:w="1629"/>
      </w:tblGrid>
      <w:tr w:rsidR="003B2986" w:rsidRPr="00E36734" w14:paraId="4F99E333" w14:textId="77777777" w:rsidTr="003B2986">
        <w:trPr>
          <w:trHeight w:val="288"/>
        </w:trPr>
        <w:tc>
          <w:tcPr>
            <w:tcW w:w="5000"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13A3D443" w14:textId="613CF715" w:rsidR="00DF32C4" w:rsidRDefault="00DF32C4" w:rsidP="003B2986">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Πίνακας 2</w:t>
            </w:r>
          </w:p>
          <w:p w14:paraId="24EF16D0" w14:textId="1F77F8F1" w:rsidR="00F27411" w:rsidRDefault="003B2986" w:rsidP="003B2986">
            <w:pPr>
              <w:spacing w:after="0" w:line="240" w:lineRule="auto"/>
              <w:jc w:val="center"/>
              <w:rPr>
                <w:rFonts w:ascii="Calibri" w:eastAsia="Times New Roman" w:hAnsi="Calibri" w:cs="Calibri"/>
                <w:b/>
                <w:bCs/>
                <w:color w:val="000000"/>
                <w:sz w:val="18"/>
                <w:szCs w:val="18"/>
              </w:rPr>
            </w:pPr>
            <w:r w:rsidRPr="00F27411">
              <w:rPr>
                <w:rFonts w:ascii="Calibri" w:eastAsia="Times New Roman" w:hAnsi="Calibri" w:cs="Calibri"/>
                <w:b/>
                <w:bCs/>
                <w:color w:val="000000"/>
                <w:sz w:val="18"/>
                <w:szCs w:val="18"/>
              </w:rPr>
              <w:t xml:space="preserve">Μεταβολές κύκλου εργασιών πολύ μικρών και μικρομεσαίων επιχειρήσεων </w:t>
            </w:r>
            <w:r w:rsidR="00F27411" w:rsidRPr="00F27411">
              <w:rPr>
                <w:rFonts w:ascii="Calibri" w:eastAsia="Times New Roman" w:hAnsi="Calibri" w:cs="Calibri"/>
                <w:b/>
                <w:bCs/>
                <w:color w:val="000000"/>
                <w:sz w:val="18"/>
                <w:szCs w:val="18"/>
              </w:rPr>
              <w:t>Α</w:t>
            </w:r>
            <w:r w:rsidR="00FB4180">
              <w:rPr>
                <w:rFonts w:ascii="Calibri" w:eastAsia="Times New Roman" w:hAnsi="Calibri" w:cs="Calibri"/>
                <w:b/>
                <w:bCs/>
                <w:color w:val="000000"/>
                <w:sz w:val="18"/>
                <w:szCs w:val="18"/>
              </w:rPr>
              <w:t>’</w:t>
            </w:r>
            <w:r w:rsidRPr="00F27411">
              <w:rPr>
                <w:rFonts w:ascii="Calibri" w:eastAsia="Times New Roman" w:hAnsi="Calibri" w:cs="Calibri"/>
                <w:b/>
                <w:bCs/>
                <w:color w:val="000000"/>
                <w:sz w:val="18"/>
                <w:szCs w:val="18"/>
              </w:rPr>
              <w:t xml:space="preserve"> εξαμήνου 202</w:t>
            </w:r>
            <w:r w:rsidR="00F27411" w:rsidRPr="00F27411">
              <w:rPr>
                <w:rFonts w:ascii="Calibri" w:eastAsia="Times New Roman" w:hAnsi="Calibri" w:cs="Calibri"/>
                <w:b/>
                <w:bCs/>
                <w:color w:val="000000"/>
                <w:sz w:val="18"/>
                <w:szCs w:val="18"/>
              </w:rPr>
              <w:t>1</w:t>
            </w:r>
          </w:p>
          <w:p w14:paraId="5E6E7C0D" w14:textId="34ED3C7B" w:rsidR="003B2986" w:rsidRPr="00F27411" w:rsidRDefault="003B2986" w:rsidP="003B2986">
            <w:pPr>
              <w:spacing w:after="0" w:line="240" w:lineRule="auto"/>
              <w:jc w:val="center"/>
              <w:rPr>
                <w:rFonts w:ascii="Calibri" w:eastAsia="Times New Roman" w:hAnsi="Calibri" w:cs="Calibri"/>
                <w:b/>
                <w:bCs/>
                <w:color w:val="000000"/>
                <w:sz w:val="18"/>
                <w:szCs w:val="18"/>
              </w:rPr>
            </w:pPr>
            <w:r w:rsidRPr="00F27411">
              <w:rPr>
                <w:rFonts w:ascii="Calibri" w:eastAsia="Times New Roman" w:hAnsi="Calibri" w:cs="Calibri"/>
                <w:b/>
                <w:bCs/>
                <w:color w:val="000000"/>
                <w:sz w:val="18"/>
                <w:szCs w:val="18"/>
              </w:rPr>
              <w:t xml:space="preserve"> - </w:t>
            </w:r>
            <w:r w:rsidR="003726B2" w:rsidRPr="00F27411">
              <w:rPr>
                <w:rFonts w:ascii="Calibri" w:eastAsia="Times New Roman" w:hAnsi="Calibri" w:cs="Calibri"/>
                <w:b/>
                <w:bCs/>
                <w:color w:val="000000"/>
                <w:sz w:val="18"/>
                <w:szCs w:val="18"/>
              </w:rPr>
              <w:t>ανά</w:t>
            </w:r>
            <w:r w:rsidRPr="00F27411">
              <w:rPr>
                <w:rFonts w:ascii="Calibri" w:eastAsia="Times New Roman" w:hAnsi="Calibri" w:cs="Calibri"/>
                <w:b/>
                <w:bCs/>
                <w:color w:val="000000"/>
                <w:sz w:val="18"/>
                <w:szCs w:val="18"/>
              </w:rPr>
              <w:t xml:space="preserve"> </w:t>
            </w:r>
            <w:r w:rsidR="004F30FE">
              <w:rPr>
                <w:rFonts w:ascii="Calibri" w:eastAsia="Times New Roman" w:hAnsi="Calibri" w:cs="Calibri"/>
                <w:b/>
                <w:bCs/>
                <w:color w:val="000000"/>
                <w:sz w:val="18"/>
                <w:szCs w:val="18"/>
              </w:rPr>
              <w:t>ειδική κατηγορία επιχειρήσεων</w:t>
            </w:r>
            <w:r w:rsidRPr="00F27411">
              <w:rPr>
                <w:rFonts w:ascii="Calibri" w:eastAsia="Times New Roman" w:hAnsi="Calibri" w:cs="Calibri"/>
                <w:b/>
                <w:bCs/>
                <w:color w:val="000000"/>
                <w:sz w:val="18"/>
                <w:szCs w:val="18"/>
              </w:rPr>
              <w:t>-</w:t>
            </w:r>
          </w:p>
        </w:tc>
      </w:tr>
      <w:tr w:rsidR="004F30FE" w:rsidRPr="00E36734" w14:paraId="1200EE34" w14:textId="77777777" w:rsidTr="004F30FE">
        <w:trPr>
          <w:trHeight w:val="1056"/>
        </w:trPr>
        <w:tc>
          <w:tcPr>
            <w:tcW w:w="1432" w:type="pct"/>
            <w:tcBorders>
              <w:top w:val="nil"/>
              <w:left w:val="single" w:sz="12" w:space="0" w:color="auto"/>
              <w:bottom w:val="single" w:sz="12" w:space="0" w:color="auto"/>
              <w:right w:val="single" w:sz="4" w:space="0" w:color="auto"/>
            </w:tcBorders>
            <w:shd w:val="clear" w:color="auto" w:fill="auto"/>
            <w:vAlign w:val="center"/>
            <w:hideMark/>
          </w:tcPr>
          <w:p w14:paraId="1041B027" w14:textId="5B6284EA" w:rsidR="004F30FE" w:rsidRDefault="004F30FE" w:rsidP="003B2986">
            <w:pPr>
              <w:spacing w:after="0" w:line="240" w:lineRule="auto"/>
              <w:jc w:val="center"/>
              <w:rPr>
                <w:rFonts w:ascii="Calibri" w:eastAsia="Times New Roman" w:hAnsi="Calibri" w:cs="Calibri"/>
                <w:color w:val="000000"/>
                <w:sz w:val="16"/>
                <w:szCs w:val="16"/>
              </w:rPr>
            </w:pPr>
            <w:r w:rsidRPr="00E36734">
              <w:rPr>
                <w:rFonts w:ascii="Calibri" w:eastAsia="Times New Roman" w:hAnsi="Calibri" w:cs="Calibri"/>
                <w:color w:val="000000"/>
                <w:sz w:val="16"/>
                <w:szCs w:val="16"/>
              </w:rPr>
              <w:t xml:space="preserve">Ο κύκλος εργασιών το </w:t>
            </w:r>
            <w:r>
              <w:rPr>
                <w:rFonts w:ascii="Calibri" w:eastAsia="Times New Roman" w:hAnsi="Calibri" w:cs="Calibri"/>
                <w:color w:val="000000"/>
                <w:sz w:val="16"/>
                <w:szCs w:val="16"/>
              </w:rPr>
              <w:t>Α</w:t>
            </w:r>
            <w:r w:rsidRPr="00E36734">
              <w:rPr>
                <w:rFonts w:ascii="Calibri" w:eastAsia="Times New Roman" w:hAnsi="Calibri" w:cs="Calibri"/>
                <w:color w:val="000000"/>
                <w:sz w:val="16"/>
                <w:szCs w:val="16"/>
              </w:rPr>
              <w:t xml:space="preserve"> εξάμηνο του 202</w:t>
            </w:r>
            <w:r>
              <w:rPr>
                <w:rFonts w:ascii="Calibri" w:eastAsia="Times New Roman" w:hAnsi="Calibri" w:cs="Calibri"/>
                <w:color w:val="000000"/>
                <w:sz w:val="16"/>
                <w:szCs w:val="16"/>
              </w:rPr>
              <w:t>1</w:t>
            </w:r>
          </w:p>
          <w:p w14:paraId="6D91E716" w14:textId="77777777" w:rsidR="004F30FE" w:rsidRDefault="004F30FE" w:rsidP="003B2986">
            <w:pPr>
              <w:spacing w:after="0" w:line="240" w:lineRule="auto"/>
              <w:jc w:val="center"/>
              <w:rPr>
                <w:rFonts w:ascii="Calibri" w:eastAsia="Times New Roman" w:hAnsi="Calibri" w:cs="Calibri"/>
                <w:color w:val="000000"/>
                <w:sz w:val="16"/>
                <w:szCs w:val="16"/>
              </w:rPr>
            </w:pPr>
          </w:p>
          <w:p w14:paraId="7900A268" w14:textId="7D164BAF" w:rsidR="004F30FE" w:rsidRPr="00E36734" w:rsidRDefault="004F30FE" w:rsidP="003B298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Κατηγόρια επιχειρήσεων</w:t>
            </w:r>
          </w:p>
        </w:tc>
        <w:tc>
          <w:tcPr>
            <w:tcW w:w="415" w:type="pct"/>
            <w:tcBorders>
              <w:top w:val="nil"/>
              <w:left w:val="nil"/>
              <w:bottom w:val="single" w:sz="12" w:space="0" w:color="auto"/>
              <w:right w:val="single" w:sz="4" w:space="0" w:color="auto"/>
            </w:tcBorders>
            <w:shd w:val="clear" w:color="auto" w:fill="auto"/>
            <w:vAlign w:val="center"/>
            <w:hideMark/>
          </w:tcPr>
          <w:p w14:paraId="28637335" w14:textId="3FD27F45" w:rsidR="004F30FE" w:rsidRPr="00E36734" w:rsidRDefault="004F30FE" w:rsidP="003B2986">
            <w:pPr>
              <w:spacing w:after="0" w:line="240" w:lineRule="auto"/>
              <w:jc w:val="center"/>
              <w:rPr>
                <w:rFonts w:ascii="Calibri" w:eastAsia="Times New Roman" w:hAnsi="Calibri" w:cs="Calibri"/>
                <w:color w:val="000000"/>
                <w:sz w:val="16"/>
                <w:szCs w:val="16"/>
                <w:lang w:val="en-US"/>
              </w:rPr>
            </w:pPr>
            <w:proofErr w:type="spellStart"/>
            <w:r w:rsidRPr="00E36734">
              <w:rPr>
                <w:rFonts w:ascii="Calibri" w:eastAsia="Times New Roman" w:hAnsi="Calibri" w:cs="Calibri"/>
                <w:color w:val="000000"/>
                <w:sz w:val="16"/>
                <w:szCs w:val="16"/>
                <w:lang w:val="en-US"/>
              </w:rPr>
              <w:t>Αυξ</w:t>
            </w:r>
            <w:proofErr w:type="spellEnd"/>
            <w:r w:rsidRPr="00E36734">
              <w:rPr>
                <w:rFonts w:ascii="Calibri" w:eastAsia="Times New Roman" w:hAnsi="Calibri" w:cs="Calibri"/>
                <w:color w:val="000000"/>
                <w:sz w:val="16"/>
                <w:szCs w:val="16"/>
              </w:rPr>
              <w:t>ή</w:t>
            </w:r>
            <w:proofErr w:type="spellStart"/>
            <w:r w:rsidRPr="00E36734">
              <w:rPr>
                <w:rFonts w:ascii="Calibri" w:eastAsia="Times New Roman" w:hAnsi="Calibri" w:cs="Calibri"/>
                <w:color w:val="000000"/>
                <w:sz w:val="16"/>
                <w:szCs w:val="16"/>
                <w:lang w:val="en-US"/>
              </w:rPr>
              <w:t>θηκε</w:t>
            </w:r>
            <w:proofErr w:type="spellEnd"/>
          </w:p>
        </w:tc>
        <w:tc>
          <w:tcPr>
            <w:tcW w:w="441" w:type="pct"/>
            <w:tcBorders>
              <w:top w:val="nil"/>
              <w:left w:val="nil"/>
              <w:bottom w:val="single" w:sz="12" w:space="0" w:color="auto"/>
              <w:right w:val="single" w:sz="4" w:space="0" w:color="auto"/>
            </w:tcBorders>
            <w:shd w:val="clear" w:color="auto" w:fill="auto"/>
            <w:vAlign w:val="center"/>
            <w:hideMark/>
          </w:tcPr>
          <w:p w14:paraId="0A4782D0" w14:textId="77777777" w:rsidR="004F30FE" w:rsidRPr="00E36734" w:rsidRDefault="004F30FE" w:rsidP="003B2986">
            <w:pPr>
              <w:spacing w:after="0" w:line="240" w:lineRule="auto"/>
              <w:jc w:val="center"/>
              <w:rPr>
                <w:rFonts w:ascii="Calibri" w:eastAsia="Times New Roman" w:hAnsi="Calibri" w:cs="Calibri"/>
                <w:color w:val="000000"/>
                <w:sz w:val="16"/>
                <w:szCs w:val="16"/>
                <w:lang w:val="en-US"/>
              </w:rPr>
            </w:pPr>
            <w:proofErr w:type="spellStart"/>
            <w:r w:rsidRPr="00E36734">
              <w:rPr>
                <w:rFonts w:ascii="Calibri" w:eastAsia="Times New Roman" w:hAnsi="Calibri" w:cs="Calibri"/>
                <w:color w:val="000000"/>
                <w:sz w:val="16"/>
                <w:szCs w:val="16"/>
                <w:lang w:val="en-US"/>
              </w:rPr>
              <w:t>Μειώθηκε</w:t>
            </w:r>
            <w:proofErr w:type="spellEnd"/>
          </w:p>
        </w:tc>
        <w:tc>
          <w:tcPr>
            <w:tcW w:w="559" w:type="pct"/>
            <w:tcBorders>
              <w:top w:val="nil"/>
              <w:left w:val="nil"/>
              <w:bottom w:val="single" w:sz="12" w:space="0" w:color="auto"/>
              <w:right w:val="double" w:sz="6" w:space="0" w:color="auto"/>
            </w:tcBorders>
            <w:shd w:val="clear" w:color="auto" w:fill="auto"/>
            <w:vAlign w:val="center"/>
            <w:hideMark/>
          </w:tcPr>
          <w:p w14:paraId="74720EC5" w14:textId="77777777" w:rsidR="004F30FE" w:rsidRPr="00E36734" w:rsidRDefault="004F30FE" w:rsidP="003B2986">
            <w:pPr>
              <w:spacing w:after="0" w:line="240" w:lineRule="auto"/>
              <w:jc w:val="center"/>
              <w:rPr>
                <w:rFonts w:ascii="Calibri" w:eastAsia="Times New Roman" w:hAnsi="Calibri" w:cs="Calibri"/>
                <w:color w:val="000000"/>
                <w:sz w:val="16"/>
                <w:szCs w:val="16"/>
                <w:lang w:val="en-US"/>
              </w:rPr>
            </w:pPr>
            <w:r w:rsidRPr="00E36734">
              <w:rPr>
                <w:rFonts w:ascii="Calibri" w:eastAsia="Times New Roman" w:hAnsi="Calibri" w:cs="Calibri"/>
                <w:color w:val="000000"/>
                <w:sz w:val="16"/>
                <w:szCs w:val="16"/>
                <w:lang w:val="en-US"/>
              </w:rPr>
              <w:t>Πα</w:t>
            </w:r>
            <w:proofErr w:type="spellStart"/>
            <w:r w:rsidRPr="00E36734">
              <w:rPr>
                <w:rFonts w:ascii="Calibri" w:eastAsia="Times New Roman" w:hAnsi="Calibri" w:cs="Calibri"/>
                <w:color w:val="000000"/>
                <w:sz w:val="16"/>
                <w:szCs w:val="16"/>
                <w:lang w:val="en-US"/>
              </w:rPr>
              <w:t>ρέμεινε</w:t>
            </w:r>
            <w:proofErr w:type="spellEnd"/>
            <w:r w:rsidRPr="00E36734">
              <w:rPr>
                <w:rFonts w:ascii="Calibri" w:eastAsia="Times New Roman" w:hAnsi="Calibri" w:cs="Calibri"/>
                <w:color w:val="000000"/>
                <w:sz w:val="16"/>
                <w:szCs w:val="16"/>
                <w:lang w:val="en-US"/>
              </w:rPr>
              <w:t xml:space="preserve"> α</w:t>
            </w:r>
            <w:proofErr w:type="spellStart"/>
            <w:r w:rsidRPr="00E36734">
              <w:rPr>
                <w:rFonts w:ascii="Calibri" w:eastAsia="Times New Roman" w:hAnsi="Calibri" w:cs="Calibri"/>
                <w:color w:val="000000"/>
                <w:sz w:val="16"/>
                <w:szCs w:val="16"/>
                <w:lang w:val="en-US"/>
              </w:rPr>
              <w:t>μετά</w:t>
            </w:r>
            <w:proofErr w:type="spellEnd"/>
            <w:r w:rsidRPr="00E36734">
              <w:rPr>
                <w:rFonts w:ascii="Calibri" w:eastAsia="Times New Roman" w:hAnsi="Calibri" w:cs="Calibri"/>
                <w:color w:val="000000"/>
                <w:sz w:val="16"/>
                <w:szCs w:val="16"/>
                <w:lang w:val="en-US"/>
              </w:rPr>
              <w:t>βλητος</w:t>
            </w:r>
          </w:p>
        </w:tc>
        <w:tc>
          <w:tcPr>
            <w:tcW w:w="746" w:type="pct"/>
            <w:tcBorders>
              <w:top w:val="nil"/>
              <w:left w:val="nil"/>
              <w:bottom w:val="single" w:sz="12" w:space="0" w:color="auto"/>
              <w:right w:val="single" w:sz="4" w:space="0" w:color="auto"/>
            </w:tcBorders>
            <w:shd w:val="clear" w:color="auto" w:fill="auto"/>
            <w:vAlign w:val="bottom"/>
            <w:hideMark/>
          </w:tcPr>
          <w:p w14:paraId="56AD9805" w14:textId="47836976" w:rsidR="004F30FE" w:rsidRPr="00E36734" w:rsidRDefault="004F30FE" w:rsidP="003B2986">
            <w:pPr>
              <w:spacing w:after="0" w:line="240" w:lineRule="auto"/>
              <w:jc w:val="center"/>
              <w:rPr>
                <w:rFonts w:ascii="Calibri" w:eastAsia="Times New Roman" w:hAnsi="Calibri" w:cs="Calibri"/>
                <w:color w:val="000000"/>
                <w:sz w:val="16"/>
                <w:szCs w:val="16"/>
              </w:rPr>
            </w:pPr>
            <w:r w:rsidRPr="00E36734">
              <w:rPr>
                <w:rFonts w:ascii="Calibri" w:eastAsia="Times New Roman" w:hAnsi="Calibri" w:cs="Calibri"/>
                <w:color w:val="000000"/>
                <w:sz w:val="16"/>
                <w:szCs w:val="16"/>
              </w:rPr>
              <w:t>Μέσος όρος αύξησης τζίρου (επιχειρήσεις που δήλωσαν πως αυξήθηκε ο τζίρος τους)</w:t>
            </w:r>
          </w:p>
        </w:tc>
        <w:tc>
          <w:tcPr>
            <w:tcW w:w="636" w:type="pct"/>
            <w:tcBorders>
              <w:top w:val="nil"/>
              <w:left w:val="nil"/>
              <w:bottom w:val="single" w:sz="12" w:space="0" w:color="auto"/>
              <w:right w:val="single" w:sz="4" w:space="0" w:color="auto"/>
            </w:tcBorders>
            <w:shd w:val="clear" w:color="auto" w:fill="auto"/>
            <w:vAlign w:val="bottom"/>
            <w:hideMark/>
          </w:tcPr>
          <w:p w14:paraId="5CADECC7" w14:textId="77777777" w:rsidR="004F30FE" w:rsidRPr="00E36734" w:rsidRDefault="004F30FE" w:rsidP="003B2986">
            <w:pPr>
              <w:spacing w:after="0" w:line="240" w:lineRule="auto"/>
              <w:jc w:val="center"/>
              <w:rPr>
                <w:rFonts w:ascii="Calibri" w:eastAsia="Times New Roman" w:hAnsi="Calibri" w:cs="Calibri"/>
                <w:color w:val="000000"/>
                <w:sz w:val="16"/>
                <w:szCs w:val="16"/>
              </w:rPr>
            </w:pPr>
            <w:r w:rsidRPr="00E36734">
              <w:rPr>
                <w:rFonts w:ascii="Calibri" w:eastAsia="Times New Roman" w:hAnsi="Calibri" w:cs="Calibri"/>
                <w:color w:val="000000"/>
                <w:sz w:val="16"/>
                <w:szCs w:val="16"/>
              </w:rPr>
              <w:t>Μέσος όρος μείωσης τζίρου (επιχειρήσεις που δήλωσαν πως μειώθηκε ο τζίρος τους)</w:t>
            </w:r>
          </w:p>
        </w:tc>
        <w:tc>
          <w:tcPr>
            <w:tcW w:w="771" w:type="pct"/>
            <w:tcBorders>
              <w:top w:val="nil"/>
              <w:left w:val="nil"/>
              <w:bottom w:val="single" w:sz="12" w:space="0" w:color="auto"/>
              <w:right w:val="single" w:sz="12" w:space="0" w:color="auto"/>
            </w:tcBorders>
            <w:shd w:val="clear" w:color="auto" w:fill="auto"/>
            <w:vAlign w:val="bottom"/>
            <w:hideMark/>
          </w:tcPr>
          <w:p w14:paraId="17617CE4" w14:textId="66FDDE6D" w:rsidR="004F30FE" w:rsidRPr="00E36734" w:rsidRDefault="004F30FE" w:rsidP="003B2986">
            <w:pPr>
              <w:spacing w:after="0" w:line="240" w:lineRule="auto"/>
              <w:jc w:val="center"/>
              <w:rPr>
                <w:rFonts w:ascii="Calibri" w:eastAsia="Times New Roman" w:hAnsi="Calibri" w:cs="Calibri"/>
                <w:color w:val="000000"/>
                <w:sz w:val="16"/>
                <w:szCs w:val="16"/>
              </w:rPr>
            </w:pPr>
            <w:proofErr w:type="spellStart"/>
            <w:r w:rsidRPr="00E36734">
              <w:rPr>
                <w:rFonts w:ascii="Calibri" w:eastAsia="Times New Roman" w:hAnsi="Calibri" w:cs="Calibri"/>
                <w:color w:val="000000"/>
                <w:sz w:val="16"/>
                <w:szCs w:val="16"/>
              </w:rPr>
              <w:t>Μεσοσταθμική</w:t>
            </w:r>
            <w:proofErr w:type="spellEnd"/>
            <w:r w:rsidRPr="00E36734">
              <w:rPr>
                <w:rFonts w:ascii="Calibri" w:eastAsia="Times New Roman" w:hAnsi="Calibri" w:cs="Calibri"/>
                <w:color w:val="000000"/>
                <w:sz w:val="16"/>
                <w:szCs w:val="16"/>
              </w:rPr>
              <w:t xml:space="preserve"> ποσοστιαία μεταβολή </w:t>
            </w:r>
            <w:r w:rsidR="00896E1C">
              <w:rPr>
                <w:rFonts w:ascii="Calibri" w:eastAsia="Times New Roman" w:hAnsi="Calibri" w:cs="Calibri"/>
                <w:color w:val="000000"/>
                <w:sz w:val="16"/>
                <w:szCs w:val="16"/>
              </w:rPr>
              <w:t>κύκλου εργασιών</w:t>
            </w:r>
            <w:r w:rsidRPr="00E36734">
              <w:rPr>
                <w:rFonts w:ascii="Calibri" w:eastAsia="Times New Roman" w:hAnsi="Calibri" w:cs="Calibri"/>
                <w:color w:val="000000"/>
                <w:sz w:val="16"/>
                <w:szCs w:val="16"/>
              </w:rPr>
              <w:t xml:space="preserve"> στο σύνολο των επιχειρήσεων της κατηγορίας</w:t>
            </w:r>
          </w:p>
        </w:tc>
      </w:tr>
      <w:tr w:rsidR="003B2986" w:rsidRPr="00E36734" w14:paraId="1BF66DC7" w14:textId="77777777" w:rsidTr="003B2986">
        <w:trPr>
          <w:trHeight w:val="528"/>
        </w:trPr>
        <w:tc>
          <w:tcPr>
            <w:tcW w:w="1432" w:type="pct"/>
            <w:tcBorders>
              <w:top w:val="single" w:sz="12" w:space="0" w:color="auto"/>
              <w:left w:val="single" w:sz="12" w:space="0" w:color="auto"/>
              <w:bottom w:val="single" w:sz="4" w:space="0" w:color="auto"/>
              <w:right w:val="single" w:sz="4" w:space="0" w:color="auto"/>
            </w:tcBorders>
            <w:shd w:val="clear" w:color="auto" w:fill="auto"/>
            <w:vAlign w:val="bottom"/>
            <w:hideMark/>
          </w:tcPr>
          <w:p w14:paraId="5181A898" w14:textId="77777777" w:rsidR="003B2986" w:rsidRPr="00E36734"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rPr>
              <w:t>Επιχειρήσεις που ανέστειλαν τη λειτουργία τους με κρατική εντολή</w:t>
            </w:r>
          </w:p>
        </w:tc>
        <w:tc>
          <w:tcPr>
            <w:tcW w:w="415" w:type="pct"/>
            <w:tcBorders>
              <w:top w:val="nil"/>
              <w:left w:val="nil"/>
              <w:bottom w:val="single" w:sz="4" w:space="0" w:color="auto"/>
              <w:right w:val="single" w:sz="4" w:space="0" w:color="auto"/>
            </w:tcBorders>
            <w:shd w:val="clear" w:color="auto" w:fill="auto"/>
            <w:noWrap/>
            <w:vAlign w:val="bottom"/>
            <w:hideMark/>
          </w:tcPr>
          <w:p w14:paraId="762DAB27" w14:textId="29900652"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11,6</w:t>
            </w:r>
          </w:p>
        </w:tc>
        <w:tc>
          <w:tcPr>
            <w:tcW w:w="441" w:type="pct"/>
            <w:tcBorders>
              <w:top w:val="nil"/>
              <w:left w:val="nil"/>
              <w:bottom w:val="single" w:sz="4" w:space="0" w:color="auto"/>
              <w:right w:val="single" w:sz="4" w:space="0" w:color="auto"/>
            </w:tcBorders>
            <w:shd w:val="clear" w:color="auto" w:fill="auto"/>
            <w:noWrap/>
            <w:vAlign w:val="bottom"/>
            <w:hideMark/>
          </w:tcPr>
          <w:p w14:paraId="510BF280" w14:textId="76E8067F"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68,3</w:t>
            </w:r>
          </w:p>
        </w:tc>
        <w:tc>
          <w:tcPr>
            <w:tcW w:w="559" w:type="pct"/>
            <w:tcBorders>
              <w:top w:val="nil"/>
              <w:left w:val="nil"/>
              <w:bottom w:val="single" w:sz="4" w:space="0" w:color="auto"/>
              <w:right w:val="double" w:sz="6" w:space="0" w:color="auto"/>
            </w:tcBorders>
            <w:shd w:val="clear" w:color="auto" w:fill="auto"/>
            <w:noWrap/>
            <w:vAlign w:val="bottom"/>
            <w:hideMark/>
          </w:tcPr>
          <w:p w14:paraId="5262F1BD" w14:textId="1F9D577A"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16,5</w:t>
            </w:r>
          </w:p>
        </w:tc>
        <w:tc>
          <w:tcPr>
            <w:tcW w:w="746" w:type="pct"/>
            <w:tcBorders>
              <w:top w:val="nil"/>
              <w:left w:val="nil"/>
              <w:bottom w:val="single" w:sz="4" w:space="0" w:color="auto"/>
              <w:right w:val="single" w:sz="4" w:space="0" w:color="auto"/>
            </w:tcBorders>
            <w:shd w:val="clear" w:color="auto" w:fill="auto"/>
            <w:noWrap/>
            <w:vAlign w:val="bottom"/>
            <w:hideMark/>
          </w:tcPr>
          <w:p w14:paraId="38E0C650" w14:textId="7FE2286E" w:rsidR="003B2986" w:rsidRPr="00734867" w:rsidRDefault="0073486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18,8</w:t>
            </w:r>
          </w:p>
        </w:tc>
        <w:tc>
          <w:tcPr>
            <w:tcW w:w="636" w:type="pct"/>
            <w:tcBorders>
              <w:top w:val="nil"/>
              <w:left w:val="nil"/>
              <w:bottom w:val="single" w:sz="4" w:space="0" w:color="auto"/>
              <w:right w:val="single" w:sz="4" w:space="0" w:color="auto"/>
            </w:tcBorders>
            <w:shd w:val="clear" w:color="auto" w:fill="auto"/>
            <w:noWrap/>
            <w:vAlign w:val="bottom"/>
            <w:hideMark/>
          </w:tcPr>
          <w:p w14:paraId="2224BF0F" w14:textId="0DE9F25C" w:rsidR="003B2986" w:rsidRPr="00734867"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734867">
              <w:rPr>
                <w:rFonts w:ascii="Calibri" w:eastAsia="Times New Roman" w:hAnsi="Calibri" w:cs="Calibri"/>
                <w:color w:val="000000"/>
                <w:sz w:val="18"/>
                <w:szCs w:val="18"/>
              </w:rPr>
              <w:t>47,0</w:t>
            </w:r>
          </w:p>
        </w:tc>
        <w:tc>
          <w:tcPr>
            <w:tcW w:w="771" w:type="pct"/>
            <w:tcBorders>
              <w:top w:val="nil"/>
              <w:left w:val="nil"/>
              <w:bottom w:val="single" w:sz="4" w:space="0" w:color="auto"/>
              <w:right w:val="single" w:sz="12" w:space="0" w:color="auto"/>
            </w:tcBorders>
            <w:shd w:val="clear" w:color="auto" w:fill="auto"/>
            <w:noWrap/>
            <w:vAlign w:val="bottom"/>
            <w:hideMark/>
          </w:tcPr>
          <w:p w14:paraId="76C26DAD" w14:textId="152DA99E" w:rsidR="003B2986" w:rsidRPr="00734867"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734867">
              <w:rPr>
                <w:rFonts w:ascii="Calibri" w:eastAsia="Times New Roman" w:hAnsi="Calibri" w:cs="Calibri"/>
                <w:color w:val="000000"/>
                <w:sz w:val="18"/>
                <w:szCs w:val="18"/>
              </w:rPr>
              <w:t>30,3</w:t>
            </w:r>
          </w:p>
        </w:tc>
      </w:tr>
      <w:tr w:rsidR="003B2986" w:rsidRPr="00E36734" w14:paraId="2ED2B866" w14:textId="77777777" w:rsidTr="003B2986">
        <w:trPr>
          <w:trHeight w:val="624"/>
        </w:trPr>
        <w:tc>
          <w:tcPr>
            <w:tcW w:w="1432" w:type="pct"/>
            <w:tcBorders>
              <w:top w:val="single" w:sz="4" w:space="0" w:color="auto"/>
              <w:left w:val="single" w:sz="12" w:space="0" w:color="auto"/>
              <w:bottom w:val="single" w:sz="4" w:space="0" w:color="auto"/>
              <w:right w:val="single" w:sz="4" w:space="0" w:color="auto"/>
            </w:tcBorders>
            <w:shd w:val="clear" w:color="auto" w:fill="auto"/>
            <w:vAlign w:val="bottom"/>
            <w:hideMark/>
          </w:tcPr>
          <w:p w14:paraId="57DE1C5F" w14:textId="77777777" w:rsidR="003B2986" w:rsidRPr="00E36734"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rPr>
              <w:t>Επιχειρήσεις που βάσει ΚΑΔ άνηκαν στις πληττόμενες</w:t>
            </w:r>
          </w:p>
        </w:tc>
        <w:tc>
          <w:tcPr>
            <w:tcW w:w="415" w:type="pct"/>
            <w:tcBorders>
              <w:top w:val="nil"/>
              <w:left w:val="nil"/>
              <w:bottom w:val="single" w:sz="4" w:space="0" w:color="auto"/>
              <w:right w:val="single" w:sz="4" w:space="0" w:color="auto"/>
            </w:tcBorders>
            <w:shd w:val="clear" w:color="auto" w:fill="auto"/>
            <w:noWrap/>
            <w:vAlign w:val="bottom"/>
            <w:hideMark/>
          </w:tcPr>
          <w:p w14:paraId="7EF34160" w14:textId="4E26FECB"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19,9</w:t>
            </w:r>
          </w:p>
        </w:tc>
        <w:tc>
          <w:tcPr>
            <w:tcW w:w="441" w:type="pct"/>
            <w:tcBorders>
              <w:top w:val="nil"/>
              <w:left w:val="nil"/>
              <w:bottom w:val="single" w:sz="4" w:space="0" w:color="auto"/>
              <w:right w:val="single" w:sz="4" w:space="0" w:color="auto"/>
            </w:tcBorders>
            <w:shd w:val="clear" w:color="auto" w:fill="auto"/>
            <w:noWrap/>
            <w:vAlign w:val="bottom"/>
            <w:hideMark/>
          </w:tcPr>
          <w:p w14:paraId="551FEA0C" w14:textId="38D127C3"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59,2</w:t>
            </w:r>
          </w:p>
        </w:tc>
        <w:tc>
          <w:tcPr>
            <w:tcW w:w="559" w:type="pct"/>
            <w:tcBorders>
              <w:top w:val="nil"/>
              <w:left w:val="nil"/>
              <w:bottom w:val="single" w:sz="4" w:space="0" w:color="auto"/>
              <w:right w:val="double" w:sz="6" w:space="0" w:color="auto"/>
            </w:tcBorders>
            <w:shd w:val="clear" w:color="auto" w:fill="auto"/>
            <w:noWrap/>
            <w:vAlign w:val="bottom"/>
            <w:hideMark/>
          </w:tcPr>
          <w:p w14:paraId="4462B709" w14:textId="3B4FF8C8"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20,6</w:t>
            </w:r>
          </w:p>
        </w:tc>
        <w:tc>
          <w:tcPr>
            <w:tcW w:w="746" w:type="pct"/>
            <w:tcBorders>
              <w:top w:val="nil"/>
              <w:left w:val="nil"/>
              <w:bottom w:val="single" w:sz="4" w:space="0" w:color="auto"/>
              <w:right w:val="single" w:sz="4" w:space="0" w:color="auto"/>
            </w:tcBorders>
            <w:shd w:val="clear" w:color="auto" w:fill="auto"/>
            <w:noWrap/>
            <w:vAlign w:val="bottom"/>
            <w:hideMark/>
          </w:tcPr>
          <w:p w14:paraId="1A14A498" w14:textId="7ED0ED4D" w:rsidR="003B2986" w:rsidRPr="00734867" w:rsidRDefault="0073486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26,6</w:t>
            </w:r>
          </w:p>
        </w:tc>
        <w:tc>
          <w:tcPr>
            <w:tcW w:w="636" w:type="pct"/>
            <w:tcBorders>
              <w:top w:val="nil"/>
              <w:left w:val="nil"/>
              <w:bottom w:val="single" w:sz="4" w:space="0" w:color="auto"/>
              <w:right w:val="single" w:sz="4" w:space="0" w:color="auto"/>
            </w:tcBorders>
            <w:shd w:val="clear" w:color="auto" w:fill="auto"/>
            <w:noWrap/>
            <w:vAlign w:val="bottom"/>
            <w:hideMark/>
          </w:tcPr>
          <w:p w14:paraId="24FB2A45" w14:textId="1225B818" w:rsidR="003B2986" w:rsidRPr="00734867"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734867">
              <w:rPr>
                <w:rFonts w:ascii="Calibri" w:eastAsia="Times New Roman" w:hAnsi="Calibri" w:cs="Calibri"/>
                <w:color w:val="000000"/>
                <w:sz w:val="18"/>
                <w:szCs w:val="18"/>
              </w:rPr>
              <w:t>40,0</w:t>
            </w:r>
          </w:p>
        </w:tc>
        <w:tc>
          <w:tcPr>
            <w:tcW w:w="771" w:type="pct"/>
            <w:tcBorders>
              <w:top w:val="nil"/>
              <w:left w:val="nil"/>
              <w:bottom w:val="single" w:sz="4" w:space="0" w:color="auto"/>
              <w:right w:val="single" w:sz="12" w:space="0" w:color="auto"/>
            </w:tcBorders>
            <w:shd w:val="clear" w:color="auto" w:fill="auto"/>
            <w:noWrap/>
            <w:vAlign w:val="bottom"/>
            <w:hideMark/>
          </w:tcPr>
          <w:p w14:paraId="529164BE" w14:textId="47F0E63D" w:rsidR="003B2986" w:rsidRPr="00734867"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734867">
              <w:rPr>
                <w:rFonts w:ascii="Calibri" w:eastAsia="Times New Roman" w:hAnsi="Calibri" w:cs="Calibri"/>
                <w:color w:val="000000"/>
                <w:sz w:val="18"/>
                <w:szCs w:val="18"/>
              </w:rPr>
              <w:t>17,3</w:t>
            </w:r>
          </w:p>
        </w:tc>
      </w:tr>
      <w:tr w:rsidR="003B2986" w:rsidRPr="00E36734" w14:paraId="280F3A1B" w14:textId="77777777" w:rsidTr="003B2986">
        <w:trPr>
          <w:trHeight w:val="912"/>
        </w:trPr>
        <w:tc>
          <w:tcPr>
            <w:tcW w:w="1432" w:type="pct"/>
            <w:tcBorders>
              <w:top w:val="single" w:sz="4" w:space="0" w:color="auto"/>
              <w:left w:val="single" w:sz="12" w:space="0" w:color="auto"/>
              <w:bottom w:val="single" w:sz="12" w:space="0" w:color="auto"/>
              <w:right w:val="single" w:sz="4" w:space="0" w:color="auto"/>
            </w:tcBorders>
            <w:shd w:val="clear" w:color="auto" w:fill="auto"/>
            <w:vAlign w:val="bottom"/>
            <w:hideMark/>
          </w:tcPr>
          <w:p w14:paraId="64F8DFB1" w14:textId="77777777" w:rsidR="003B2986" w:rsidRPr="00E36734"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rPr>
              <w:t>Επιχειρήσεις που δεν ανήκουν σε καμία από τις δύο παραπάνω κατηγορίες</w:t>
            </w:r>
          </w:p>
        </w:tc>
        <w:tc>
          <w:tcPr>
            <w:tcW w:w="415" w:type="pct"/>
            <w:tcBorders>
              <w:top w:val="nil"/>
              <w:left w:val="nil"/>
              <w:bottom w:val="single" w:sz="12" w:space="0" w:color="auto"/>
              <w:right w:val="single" w:sz="4" w:space="0" w:color="auto"/>
            </w:tcBorders>
            <w:shd w:val="clear" w:color="auto" w:fill="auto"/>
            <w:noWrap/>
            <w:vAlign w:val="bottom"/>
            <w:hideMark/>
          </w:tcPr>
          <w:p w14:paraId="3AAA83CF" w14:textId="070FC483"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27,8</w:t>
            </w:r>
          </w:p>
        </w:tc>
        <w:tc>
          <w:tcPr>
            <w:tcW w:w="441" w:type="pct"/>
            <w:tcBorders>
              <w:top w:val="nil"/>
              <w:left w:val="nil"/>
              <w:bottom w:val="single" w:sz="12" w:space="0" w:color="auto"/>
              <w:right w:val="single" w:sz="4" w:space="0" w:color="auto"/>
            </w:tcBorders>
            <w:shd w:val="clear" w:color="auto" w:fill="auto"/>
            <w:noWrap/>
            <w:vAlign w:val="bottom"/>
            <w:hideMark/>
          </w:tcPr>
          <w:p w14:paraId="3A8F755D" w14:textId="19E7A209"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38,0</w:t>
            </w:r>
          </w:p>
        </w:tc>
        <w:tc>
          <w:tcPr>
            <w:tcW w:w="559" w:type="pct"/>
            <w:tcBorders>
              <w:top w:val="nil"/>
              <w:left w:val="nil"/>
              <w:bottom w:val="single" w:sz="12" w:space="0" w:color="auto"/>
              <w:right w:val="double" w:sz="6" w:space="0" w:color="auto"/>
            </w:tcBorders>
            <w:shd w:val="clear" w:color="auto" w:fill="auto"/>
            <w:noWrap/>
            <w:vAlign w:val="bottom"/>
            <w:hideMark/>
          </w:tcPr>
          <w:p w14:paraId="2C965078" w14:textId="318E27EC" w:rsidR="003B2986" w:rsidRPr="00177857" w:rsidRDefault="0017785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31,4</w:t>
            </w:r>
          </w:p>
        </w:tc>
        <w:tc>
          <w:tcPr>
            <w:tcW w:w="746" w:type="pct"/>
            <w:tcBorders>
              <w:top w:val="nil"/>
              <w:left w:val="nil"/>
              <w:bottom w:val="single" w:sz="12" w:space="0" w:color="auto"/>
              <w:right w:val="single" w:sz="4" w:space="0" w:color="auto"/>
            </w:tcBorders>
            <w:shd w:val="clear" w:color="auto" w:fill="auto"/>
            <w:noWrap/>
            <w:vAlign w:val="bottom"/>
            <w:hideMark/>
          </w:tcPr>
          <w:p w14:paraId="1D99E3B6" w14:textId="0912D7AE" w:rsidR="003B2986" w:rsidRPr="00734867" w:rsidRDefault="0073486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32,8</w:t>
            </w:r>
          </w:p>
        </w:tc>
        <w:tc>
          <w:tcPr>
            <w:tcW w:w="636" w:type="pct"/>
            <w:tcBorders>
              <w:top w:val="nil"/>
              <w:left w:val="nil"/>
              <w:bottom w:val="single" w:sz="12" w:space="0" w:color="auto"/>
              <w:right w:val="single" w:sz="4" w:space="0" w:color="auto"/>
            </w:tcBorders>
            <w:shd w:val="clear" w:color="auto" w:fill="auto"/>
            <w:noWrap/>
            <w:vAlign w:val="bottom"/>
            <w:hideMark/>
          </w:tcPr>
          <w:p w14:paraId="33C187F9" w14:textId="7352635F" w:rsidR="003B2986" w:rsidRPr="00734867"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734867">
              <w:rPr>
                <w:rFonts w:ascii="Calibri" w:eastAsia="Times New Roman" w:hAnsi="Calibri" w:cs="Calibri"/>
                <w:color w:val="000000"/>
                <w:sz w:val="18"/>
                <w:szCs w:val="18"/>
              </w:rPr>
              <w:t>36,0</w:t>
            </w:r>
          </w:p>
        </w:tc>
        <w:tc>
          <w:tcPr>
            <w:tcW w:w="771" w:type="pct"/>
            <w:tcBorders>
              <w:top w:val="nil"/>
              <w:left w:val="nil"/>
              <w:bottom w:val="single" w:sz="12" w:space="0" w:color="auto"/>
              <w:right w:val="single" w:sz="12" w:space="0" w:color="auto"/>
            </w:tcBorders>
            <w:shd w:val="clear" w:color="auto" w:fill="auto"/>
            <w:noWrap/>
            <w:vAlign w:val="bottom"/>
            <w:hideMark/>
          </w:tcPr>
          <w:p w14:paraId="228A208B" w14:textId="567E8FD8" w:rsidR="003B2986" w:rsidRPr="00734867"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734867">
              <w:rPr>
                <w:rFonts w:ascii="Calibri" w:eastAsia="Times New Roman" w:hAnsi="Calibri" w:cs="Calibri"/>
                <w:color w:val="000000"/>
                <w:sz w:val="18"/>
                <w:szCs w:val="18"/>
              </w:rPr>
              <w:t>4,2</w:t>
            </w:r>
          </w:p>
        </w:tc>
      </w:tr>
      <w:tr w:rsidR="003B2986" w:rsidRPr="00E36734" w14:paraId="46157E14" w14:textId="77777777" w:rsidTr="003B2986">
        <w:trPr>
          <w:trHeight w:val="312"/>
        </w:trPr>
        <w:tc>
          <w:tcPr>
            <w:tcW w:w="1432" w:type="pct"/>
            <w:tcBorders>
              <w:top w:val="nil"/>
              <w:left w:val="single" w:sz="12" w:space="0" w:color="auto"/>
              <w:bottom w:val="single" w:sz="12" w:space="0" w:color="auto"/>
              <w:right w:val="single" w:sz="4" w:space="0" w:color="auto"/>
            </w:tcBorders>
            <w:shd w:val="clear" w:color="auto" w:fill="auto"/>
            <w:vAlign w:val="bottom"/>
            <w:hideMark/>
          </w:tcPr>
          <w:p w14:paraId="6B34EDD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Επ</w:t>
            </w:r>
            <w:proofErr w:type="spellStart"/>
            <w:r w:rsidRPr="00E36734">
              <w:rPr>
                <w:rFonts w:ascii="Calibri" w:eastAsia="Times New Roman" w:hAnsi="Calibri" w:cs="Calibri"/>
                <w:color w:val="000000"/>
                <w:sz w:val="18"/>
                <w:szCs w:val="18"/>
                <w:lang w:val="en-US"/>
              </w:rPr>
              <w:t>ιχειρήσεις</w:t>
            </w:r>
            <w:proofErr w:type="spellEnd"/>
            <w:r w:rsidRPr="00E36734">
              <w:rPr>
                <w:rFonts w:ascii="Calibri" w:eastAsia="Times New Roman" w:hAnsi="Calibri" w:cs="Calibri"/>
                <w:color w:val="000000"/>
                <w:sz w:val="18"/>
                <w:szCs w:val="18"/>
                <w:lang w:val="en-US"/>
              </w:rPr>
              <w:t xml:space="preserve"> </w:t>
            </w:r>
            <w:proofErr w:type="spellStart"/>
            <w:r w:rsidRPr="00E36734">
              <w:rPr>
                <w:rFonts w:ascii="Calibri" w:eastAsia="Times New Roman" w:hAnsi="Calibri" w:cs="Calibri"/>
                <w:color w:val="000000"/>
                <w:sz w:val="18"/>
                <w:szCs w:val="18"/>
                <w:lang w:val="en-US"/>
              </w:rPr>
              <w:t>εστί</w:t>
            </w:r>
            <w:proofErr w:type="spellEnd"/>
            <w:r w:rsidRPr="00E36734">
              <w:rPr>
                <w:rFonts w:ascii="Calibri" w:eastAsia="Times New Roman" w:hAnsi="Calibri" w:cs="Calibri"/>
                <w:color w:val="000000"/>
                <w:sz w:val="18"/>
                <w:szCs w:val="18"/>
                <w:lang w:val="en-US"/>
              </w:rPr>
              <w:t>ασης</w:t>
            </w:r>
          </w:p>
        </w:tc>
        <w:tc>
          <w:tcPr>
            <w:tcW w:w="415" w:type="pct"/>
            <w:tcBorders>
              <w:top w:val="nil"/>
              <w:left w:val="nil"/>
              <w:bottom w:val="single" w:sz="12" w:space="0" w:color="auto"/>
              <w:right w:val="single" w:sz="4" w:space="0" w:color="auto"/>
            </w:tcBorders>
            <w:shd w:val="clear" w:color="auto" w:fill="auto"/>
            <w:noWrap/>
            <w:vAlign w:val="bottom"/>
            <w:hideMark/>
          </w:tcPr>
          <w:p w14:paraId="6894DDEB" w14:textId="52DD898C" w:rsidR="003B2986" w:rsidRPr="004F30FE" w:rsidRDefault="004F30FE"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11,3</w:t>
            </w:r>
          </w:p>
        </w:tc>
        <w:tc>
          <w:tcPr>
            <w:tcW w:w="441" w:type="pct"/>
            <w:tcBorders>
              <w:top w:val="nil"/>
              <w:left w:val="nil"/>
              <w:bottom w:val="single" w:sz="12" w:space="0" w:color="auto"/>
              <w:right w:val="single" w:sz="4" w:space="0" w:color="auto"/>
            </w:tcBorders>
            <w:shd w:val="clear" w:color="auto" w:fill="auto"/>
            <w:noWrap/>
            <w:vAlign w:val="bottom"/>
            <w:hideMark/>
          </w:tcPr>
          <w:p w14:paraId="32125C9C" w14:textId="45A169E0" w:rsidR="003B2986" w:rsidRPr="004F30FE" w:rsidRDefault="004F30FE"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68,0</w:t>
            </w:r>
          </w:p>
        </w:tc>
        <w:tc>
          <w:tcPr>
            <w:tcW w:w="559" w:type="pct"/>
            <w:tcBorders>
              <w:top w:val="nil"/>
              <w:left w:val="nil"/>
              <w:bottom w:val="single" w:sz="12" w:space="0" w:color="auto"/>
              <w:right w:val="double" w:sz="6" w:space="0" w:color="auto"/>
            </w:tcBorders>
            <w:shd w:val="clear" w:color="auto" w:fill="auto"/>
            <w:noWrap/>
            <w:vAlign w:val="bottom"/>
            <w:hideMark/>
          </w:tcPr>
          <w:p w14:paraId="05779728" w14:textId="230F8F9D" w:rsidR="003B2986" w:rsidRPr="00734867" w:rsidRDefault="00734867"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18,6</w:t>
            </w:r>
          </w:p>
        </w:tc>
        <w:tc>
          <w:tcPr>
            <w:tcW w:w="746" w:type="pct"/>
            <w:tcBorders>
              <w:top w:val="nil"/>
              <w:left w:val="nil"/>
              <w:bottom w:val="single" w:sz="12" w:space="0" w:color="auto"/>
              <w:right w:val="single" w:sz="4" w:space="0" w:color="auto"/>
            </w:tcBorders>
            <w:shd w:val="clear" w:color="auto" w:fill="auto"/>
            <w:noWrap/>
            <w:vAlign w:val="bottom"/>
            <w:hideMark/>
          </w:tcPr>
          <w:p w14:paraId="57EE7BC6" w14:textId="16C74C84" w:rsidR="003B2986" w:rsidRPr="004F30FE" w:rsidRDefault="004F30FE" w:rsidP="003B2986">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23,2</w:t>
            </w:r>
          </w:p>
        </w:tc>
        <w:tc>
          <w:tcPr>
            <w:tcW w:w="636" w:type="pct"/>
            <w:tcBorders>
              <w:top w:val="nil"/>
              <w:left w:val="nil"/>
              <w:bottom w:val="single" w:sz="12" w:space="0" w:color="auto"/>
              <w:right w:val="single" w:sz="4" w:space="0" w:color="auto"/>
            </w:tcBorders>
            <w:shd w:val="clear" w:color="auto" w:fill="auto"/>
            <w:noWrap/>
            <w:vAlign w:val="bottom"/>
            <w:hideMark/>
          </w:tcPr>
          <w:p w14:paraId="730F3524" w14:textId="08B2692A" w:rsidR="003B2986" w:rsidRPr="004F30FE"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4F30FE">
              <w:rPr>
                <w:rFonts w:ascii="Calibri" w:eastAsia="Times New Roman" w:hAnsi="Calibri" w:cs="Calibri"/>
                <w:color w:val="000000"/>
                <w:sz w:val="18"/>
                <w:szCs w:val="18"/>
              </w:rPr>
              <w:t>51,8</w:t>
            </w:r>
          </w:p>
        </w:tc>
        <w:tc>
          <w:tcPr>
            <w:tcW w:w="771" w:type="pct"/>
            <w:tcBorders>
              <w:top w:val="nil"/>
              <w:left w:val="nil"/>
              <w:bottom w:val="single" w:sz="12" w:space="0" w:color="auto"/>
              <w:right w:val="single" w:sz="12" w:space="0" w:color="auto"/>
            </w:tcBorders>
            <w:shd w:val="clear" w:color="auto" w:fill="auto"/>
            <w:noWrap/>
            <w:vAlign w:val="bottom"/>
            <w:hideMark/>
          </w:tcPr>
          <w:p w14:paraId="29769A98" w14:textId="0C36FA4C" w:rsidR="003B2986" w:rsidRPr="004F30FE"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lang w:val="en-US"/>
              </w:rPr>
              <w:t>-</w:t>
            </w:r>
            <w:r w:rsidR="004F30FE">
              <w:rPr>
                <w:rFonts w:ascii="Calibri" w:eastAsia="Times New Roman" w:hAnsi="Calibri" w:cs="Calibri"/>
                <w:color w:val="000000"/>
                <w:sz w:val="18"/>
                <w:szCs w:val="18"/>
              </w:rPr>
              <w:t>31,8</w:t>
            </w:r>
          </w:p>
        </w:tc>
      </w:tr>
    </w:tbl>
    <w:p w14:paraId="76E712BC" w14:textId="77777777" w:rsidR="00A9257F" w:rsidRPr="00E36734" w:rsidRDefault="00A9257F" w:rsidP="00761263">
      <w:pPr>
        <w:spacing w:after="0" w:line="360" w:lineRule="auto"/>
        <w:jc w:val="both"/>
        <w:rPr>
          <w:rFonts w:ascii="Times New Roman" w:hAnsi="Times New Roman" w:cs="Times New Roman"/>
          <w:sz w:val="24"/>
          <w:szCs w:val="24"/>
        </w:rPr>
      </w:pPr>
    </w:p>
    <w:p w14:paraId="07138580" w14:textId="77777777" w:rsidR="00A417BC" w:rsidRPr="00E36734" w:rsidRDefault="00A417BC" w:rsidP="00761263">
      <w:pPr>
        <w:spacing w:after="0" w:line="360" w:lineRule="auto"/>
        <w:jc w:val="both"/>
        <w:rPr>
          <w:rFonts w:ascii="Times New Roman" w:hAnsi="Times New Roman" w:cs="Times New Roman"/>
          <w:b/>
          <w:sz w:val="24"/>
          <w:szCs w:val="24"/>
          <w:u w:val="single"/>
        </w:rPr>
      </w:pPr>
    </w:p>
    <w:p w14:paraId="6B997CB8" w14:textId="344AEB77" w:rsidR="00A417BC" w:rsidRPr="00E36734" w:rsidRDefault="00A417BC" w:rsidP="00A417BC">
      <w:pPr>
        <w:spacing w:after="0" w:line="360" w:lineRule="auto"/>
        <w:jc w:val="both"/>
        <w:rPr>
          <w:rFonts w:ascii="Times New Roman" w:hAnsi="Times New Roman" w:cs="Times New Roman"/>
          <w:b/>
          <w:sz w:val="24"/>
          <w:szCs w:val="24"/>
          <w:u w:val="single"/>
        </w:rPr>
      </w:pPr>
      <w:r w:rsidRPr="00E36734">
        <w:rPr>
          <w:rFonts w:ascii="Times New Roman" w:hAnsi="Times New Roman" w:cs="Times New Roman"/>
          <w:b/>
          <w:sz w:val="24"/>
          <w:szCs w:val="24"/>
          <w:u w:val="single"/>
        </w:rPr>
        <w:t xml:space="preserve">Ετήσιος </w:t>
      </w:r>
      <w:r w:rsidR="0050151C">
        <w:rPr>
          <w:rFonts w:ascii="Times New Roman" w:hAnsi="Times New Roman" w:cs="Times New Roman"/>
          <w:b/>
          <w:sz w:val="24"/>
          <w:szCs w:val="24"/>
          <w:u w:val="single"/>
        </w:rPr>
        <w:t>κύκλος εργασιών</w:t>
      </w:r>
      <w:r w:rsidRPr="00E36734">
        <w:rPr>
          <w:rFonts w:ascii="Times New Roman" w:hAnsi="Times New Roman" w:cs="Times New Roman"/>
          <w:b/>
          <w:sz w:val="24"/>
          <w:szCs w:val="24"/>
          <w:u w:val="single"/>
        </w:rPr>
        <w:t xml:space="preserve"> - Κερδοφορία</w:t>
      </w:r>
    </w:p>
    <w:p w14:paraId="206471A9" w14:textId="0B369809" w:rsidR="00D25A9C" w:rsidRPr="00A319CA" w:rsidRDefault="00077044" w:rsidP="00A417BC">
      <w:pPr>
        <w:spacing w:after="0" w:line="360" w:lineRule="auto"/>
        <w:jc w:val="both"/>
        <w:rPr>
          <w:rFonts w:ascii="Times New Roman" w:hAnsi="Times New Roman" w:cs="Times New Roman"/>
          <w:sz w:val="24"/>
          <w:szCs w:val="24"/>
        </w:rPr>
      </w:pPr>
      <w:bookmarkStart w:id="6" w:name="_Hlk68246108"/>
      <w:r w:rsidRPr="00A319CA">
        <w:rPr>
          <w:rFonts w:ascii="Times New Roman" w:hAnsi="Times New Roman" w:cs="Times New Roman"/>
          <w:sz w:val="24"/>
          <w:szCs w:val="24"/>
        </w:rPr>
        <w:t>Οι σοβαρές επιπτώσεις των μέτρων περιορισμού για την αντιμετώπιση της υγειονομικής κρίσης φαίνονται από τις μεταβολές που έχ</w:t>
      </w:r>
      <w:r w:rsidR="00A319CA">
        <w:rPr>
          <w:rFonts w:ascii="Times New Roman" w:hAnsi="Times New Roman" w:cs="Times New Roman"/>
          <w:sz w:val="24"/>
          <w:szCs w:val="24"/>
        </w:rPr>
        <w:t>ουν</w:t>
      </w:r>
      <w:r w:rsidRPr="00A319CA">
        <w:rPr>
          <w:rFonts w:ascii="Times New Roman" w:hAnsi="Times New Roman" w:cs="Times New Roman"/>
          <w:sz w:val="24"/>
          <w:szCs w:val="24"/>
        </w:rPr>
        <w:t xml:space="preserve"> επέλθει στον κύκλο εργασιών και τα κέρδη των μικρών και πολύ </w:t>
      </w:r>
      <w:r w:rsidR="00A319CA" w:rsidRPr="00A319CA">
        <w:rPr>
          <w:rFonts w:ascii="Times New Roman" w:hAnsi="Times New Roman" w:cs="Times New Roman"/>
          <w:sz w:val="24"/>
          <w:szCs w:val="24"/>
        </w:rPr>
        <w:t>μικρών</w:t>
      </w:r>
      <w:r w:rsidRPr="00A319CA">
        <w:rPr>
          <w:rFonts w:ascii="Times New Roman" w:hAnsi="Times New Roman" w:cs="Times New Roman"/>
          <w:sz w:val="24"/>
          <w:szCs w:val="24"/>
        </w:rPr>
        <w:t xml:space="preserve"> επιχειρήσεων</w:t>
      </w:r>
      <w:r w:rsidR="00A319CA" w:rsidRPr="00A319CA">
        <w:rPr>
          <w:rFonts w:ascii="Times New Roman" w:hAnsi="Times New Roman" w:cs="Times New Roman"/>
          <w:sz w:val="24"/>
          <w:szCs w:val="24"/>
        </w:rPr>
        <w:t xml:space="preserve"> </w:t>
      </w:r>
      <w:r w:rsidR="00D25A9C" w:rsidRPr="00A319CA">
        <w:rPr>
          <w:rFonts w:ascii="Times New Roman" w:hAnsi="Times New Roman" w:cs="Times New Roman"/>
          <w:sz w:val="24"/>
          <w:szCs w:val="24"/>
        </w:rPr>
        <w:t>συγκρίνοντας τα σχετικά μεγέθη μεταξύ των ετών 2020 και 2019.</w:t>
      </w:r>
    </w:p>
    <w:p w14:paraId="5D655C56" w14:textId="39381557" w:rsidR="00854D7F" w:rsidRPr="00E76531" w:rsidRDefault="00854D7F" w:rsidP="00A417BC">
      <w:pPr>
        <w:spacing w:after="0" w:line="360" w:lineRule="auto"/>
        <w:jc w:val="both"/>
        <w:rPr>
          <w:rFonts w:ascii="Times New Roman" w:hAnsi="Times New Roman" w:cs="Times New Roman"/>
          <w:sz w:val="24"/>
          <w:szCs w:val="24"/>
        </w:rPr>
      </w:pPr>
      <w:r w:rsidRPr="00E76531">
        <w:rPr>
          <w:rFonts w:ascii="Times New Roman" w:hAnsi="Times New Roman" w:cs="Times New Roman"/>
          <w:sz w:val="24"/>
          <w:szCs w:val="24"/>
        </w:rPr>
        <w:t xml:space="preserve">Όπως φαίνεται στο </w:t>
      </w:r>
      <w:r w:rsidR="00274A97" w:rsidRPr="00E76531">
        <w:rPr>
          <w:rFonts w:ascii="Times New Roman" w:hAnsi="Times New Roman" w:cs="Times New Roman"/>
          <w:sz w:val="24"/>
          <w:szCs w:val="24"/>
        </w:rPr>
        <w:t>Γ</w:t>
      </w:r>
      <w:r w:rsidRPr="00E76531">
        <w:rPr>
          <w:rFonts w:ascii="Times New Roman" w:hAnsi="Times New Roman" w:cs="Times New Roman"/>
          <w:sz w:val="24"/>
          <w:szCs w:val="24"/>
        </w:rPr>
        <w:t xml:space="preserve">ράφημα </w:t>
      </w:r>
      <w:r w:rsidR="00A319CA" w:rsidRPr="00E76531">
        <w:rPr>
          <w:rFonts w:ascii="Times New Roman" w:hAnsi="Times New Roman" w:cs="Times New Roman"/>
          <w:sz w:val="24"/>
          <w:szCs w:val="24"/>
        </w:rPr>
        <w:t>8</w:t>
      </w:r>
      <w:r w:rsidR="00F90F82">
        <w:rPr>
          <w:rFonts w:ascii="Times New Roman" w:hAnsi="Times New Roman" w:cs="Times New Roman"/>
          <w:sz w:val="24"/>
          <w:szCs w:val="24"/>
        </w:rPr>
        <w:t>,</w:t>
      </w:r>
      <w:r w:rsidRPr="00E76531">
        <w:rPr>
          <w:rFonts w:ascii="Times New Roman" w:hAnsi="Times New Roman" w:cs="Times New Roman"/>
          <w:sz w:val="24"/>
          <w:szCs w:val="24"/>
        </w:rPr>
        <w:t xml:space="preserve"> οι επιχειρήσεις που δηλώνουν ετήσιο </w:t>
      </w:r>
      <w:r w:rsidR="007E7430">
        <w:rPr>
          <w:rFonts w:ascii="Times New Roman" w:hAnsi="Times New Roman" w:cs="Times New Roman"/>
          <w:sz w:val="24"/>
          <w:szCs w:val="24"/>
        </w:rPr>
        <w:t>κύκλο εργασιών</w:t>
      </w:r>
      <w:r w:rsidRPr="00E76531">
        <w:rPr>
          <w:rFonts w:ascii="Times New Roman" w:hAnsi="Times New Roman" w:cs="Times New Roman"/>
          <w:sz w:val="24"/>
          <w:szCs w:val="24"/>
        </w:rPr>
        <w:t xml:space="preserve"> κάτω από 50.000€ αυξήθηκαν το 2020 σε σχέση με το 2019 κατά </w:t>
      </w:r>
      <w:r w:rsidR="00A319CA" w:rsidRPr="00E76531">
        <w:rPr>
          <w:rFonts w:ascii="Times New Roman" w:hAnsi="Times New Roman" w:cs="Times New Roman"/>
          <w:sz w:val="24"/>
          <w:szCs w:val="24"/>
        </w:rPr>
        <w:t>11,7</w:t>
      </w:r>
      <w:r w:rsidRPr="00E76531">
        <w:rPr>
          <w:rFonts w:ascii="Times New Roman" w:hAnsi="Times New Roman" w:cs="Times New Roman"/>
          <w:sz w:val="24"/>
          <w:szCs w:val="24"/>
        </w:rPr>
        <w:t xml:space="preserve"> ποσοστιαίες μονάδες. </w:t>
      </w:r>
      <w:r w:rsidR="00E76531" w:rsidRPr="00E76531">
        <w:rPr>
          <w:rFonts w:ascii="Times New Roman" w:hAnsi="Times New Roman" w:cs="Times New Roman"/>
          <w:sz w:val="24"/>
          <w:szCs w:val="24"/>
        </w:rPr>
        <w:t>Επιπλέον φαίνεται</w:t>
      </w:r>
      <w:r w:rsidR="00A319CA" w:rsidRPr="00E76531">
        <w:rPr>
          <w:rFonts w:ascii="Times New Roman" w:hAnsi="Times New Roman" w:cs="Times New Roman"/>
          <w:sz w:val="24"/>
          <w:szCs w:val="24"/>
        </w:rPr>
        <w:t xml:space="preserve"> πως </w:t>
      </w:r>
      <w:r w:rsidR="00E76531" w:rsidRPr="00E76531">
        <w:rPr>
          <w:rFonts w:ascii="Times New Roman" w:hAnsi="Times New Roman" w:cs="Times New Roman"/>
          <w:sz w:val="24"/>
          <w:szCs w:val="24"/>
        </w:rPr>
        <w:lastRenderedPageBreak/>
        <w:t>υποδιπλασιάστηκαν</w:t>
      </w:r>
      <w:r w:rsidR="00A319CA" w:rsidRPr="00E76531">
        <w:rPr>
          <w:rFonts w:ascii="Times New Roman" w:hAnsi="Times New Roman" w:cs="Times New Roman"/>
          <w:sz w:val="24"/>
          <w:szCs w:val="24"/>
        </w:rPr>
        <w:t xml:space="preserve"> οι επιχειρήσεις </w:t>
      </w:r>
      <w:r w:rsidR="00E76531" w:rsidRPr="00E76531">
        <w:rPr>
          <w:rFonts w:ascii="Times New Roman" w:hAnsi="Times New Roman" w:cs="Times New Roman"/>
          <w:sz w:val="24"/>
          <w:szCs w:val="24"/>
        </w:rPr>
        <w:t xml:space="preserve">που </w:t>
      </w:r>
      <w:r w:rsidR="00A319CA" w:rsidRPr="00E76531">
        <w:rPr>
          <w:rFonts w:ascii="Times New Roman" w:hAnsi="Times New Roman" w:cs="Times New Roman"/>
          <w:sz w:val="24"/>
          <w:szCs w:val="24"/>
        </w:rPr>
        <w:t xml:space="preserve">μεταξύ 2020 και 2019 δήλωσαν κύκλο εργασιών πάνω  από 1.000.000 €. </w:t>
      </w:r>
    </w:p>
    <w:p w14:paraId="40E8BAA9" w14:textId="17F1D6FD" w:rsidR="00B77B52" w:rsidRDefault="00E76531" w:rsidP="00A417BC">
      <w:pPr>
        <w:spacing w:after="0" w:line="360" w:lineRule="auto"/>
        <w:jc w:val="both"/>
        <w:rPr>
          <w:rFonts w:ascii="Times New Roman" w:hAnsi="Times New Roman" w:cs="Times New Roman"/>
          <w:sz w:val="24"/>
          <w:szCs w:val="24"/>
        </w:rPr>
      </w:pPr>
      <w:r w:rsidRPr="00E76531">
        <w:rPr>
          <w:rFonts w:ascii="Times New Roman" w:hAnsi="Times New Roman" w:cs="Times New Roman"/>
          <w:sz w:val="24"/>
          <w:szCs w:val="24"/>
        </w:rPr>
        <w:t>Ειδικότερα</w:t>
      </w:r>
      <w:r w:rsidR="00B77B52" w:rsidRPr="00E76531">
        <w:rPr>
          <w:rFonts w:ascii="Times New Roman" w:hAnsi="Times New Roman" w:cs="Times New Roman"/>
          <w:sz w:val="24"/>
          <w:szCs w:val="24"/>
        </w:rPr>
        <w:t xml:space="preserve">, οι επιχειρήσεις που δήλωσαν ετήσιο </w:t>
      </w:r>
      <w:r w:rsidR="007E7430">
        <w:rPr>
          <w:rFonts w:ascii="Times New Roman" w:hAnsi="Times New Roman" w:cs="Times New Roman"/>
          <w:sz w:val="24"/>
          <w:szCs w:val="24"/>
        </w:rPr>
        <w:t>κύκλο εργασιών</w:t>
      </w:r>
      <w:r w:rsidR="007E7430" w:rsidRPr="00E76531">
        <w:rPr>
          <w:rFonts w:ascii="Times New Roman" w:hAnsi="Times New Roman" w:cs="Times New Roman"/>
          <w:sz w:val="24"/>
          <w:szCs w:val="24"/>
        </w:rPr>
        <w:t xml:space="preserve"> </w:t>
      </w:r>
      <w:r w:rsidR="00B77B52" w:rsidRPr="00E76531">
        <w:rPr>
          <w:rFonts w:ascii="Times New Roman" w:hAnsi="Times New Roman" w:cs="Times New Roman"/>
          <w:sz w:val="24"/>
          <w:szCs w:val="24"/>
        </w:rPr>
        <w:t xml:space="preserve"> κάτω από 50.000 € αντιστοιχούν στο </w:t>
      </w:r>
      <w:r w:rsidRPr="00E76531">
        <w:rPr>
          <w:rFonts w:ascii="Times New Roman" w:hAnsi="Times New Roman" w:cs="Times New Roman"/>
          <w:sz w:val="24"/>
          <w:szCs w:val="24"/>
        </w:rPr>
        <w:t>45,8</w:t>
      </w:r>
      <w:r w:rsidR="00B77B52" w:rsidRPr="00E76531">
        <w:rPr>
          <w:rFonts w:ascii="Times New Roman" w:hAnsi="Times New Roman" w:cs="Times New Roman"/>
          <w:sz w:val="24"/>
          <w:szCs w:val="24"/>
        </w:rPr>
        <w:t xml:space="preserve">% των μικρών και πολύ μικρών επιχειρήσεων έναντι του 34,1% που ήταν το 2019. </w:t>
      </w:r>
      <w:r w:rsidRPr="00E76531">
        <w:rPr>
          <w:rFonts w:ascii="Times New Roman" w:hAnsi="Times New Roman" w:cs="Times New Roman"/>
          <w:sz w:val="24"/>
          <w:szCs w:val="24"/>
        </w:rPr>
        <w:t>Τ</w:t>
      </w:r>
      <w:r w:rsidR="00B77B52" w:rsidRPr="00E76531">
        <w:rPr>
          <w:rFonts w:ascii="Times New Roman" w:hAnsi="Times New Roman" w:cs="Times New Roman"/>
          <w:sz w:val="24"/>
          <w:szCs w:val="24"/>
        </w:rPr>
        <w:t xml:space="preserve">ο </w:t>
      </w:r>
      <w:r w:rsidRPr="00E76531">
        <w:rPr>
          <w:rFonts w:ascii="Times New Roman" w:hAnsi="Times New Roman" w:cs="Times New Roman"/>
          <w:sz w:val="24"/>
          <w:szCs w:val="24"/>
        </w:rPr>
        <w:t>14,8</w:t>
      </w:r>
      <w:r w:rsidR="00B77B52" w:rsidRPr="00E76531">
        <w:rPr>
          <w:rFonts w:ascii="Times New Roman" w:hAnsi="Times New Roman" w:cs="Times New Roman"/>
          <w:sz w:val="24"/>
          <w:szCs w:val="24"/>
        </w:rPr>
        <w:t xml:space="preserve">% </w:t>
      </w:r>
      <w:r w:rsidRPr="00E76531">
        <w:rPr>
          <w:rFonts w:ascii="Times New Roman" w:hAnsi="Times New Roman" w:cs="Times New Roman"/>
          <w:sz w:val="24"/>
          <w:szCs w:val="24"/>
        </w:rPr>
        <w:t xml:space="preserve">που </w:t>
      </w:r>
      <w:r w:rsidR="00B77B52" w:rsidRPr="00E76531">
        <w:rPr>
          <w:rFonts w:ascii="Times New Roman" w:hAnsi="Times New Roman" w:cs="Times New Roman"/>
          <w:sz w:val="24"/>
          <w:szCs w:val="24"/>
        </w:rPr>
        <w:t xml:space="preserve">δήλωσε ετήσιο </w:t>
      </w:r>
      <w:r w:rsidR="007E7430">
        <w:rPr>
          <w:rFonts w:ascii="Times New Roman" w:hAnsi="Times New Roman" w:cs="Times New Roman"/>
          <w:sz w:val="24"/>
          <w:szCs w:val="24"/>
        </w:rPr>
        <w:t>κύκλο εργασιών</w:t>
      </w:r>
      <w:r w:rsidR="00B77B52" w:rsidRPr="00E76531">
        <w:rPr>
          <w:rFonts w:ascii="Times New Roman" w:hAnsi="Times New Roman" w:cs="Times New Roman"/>
          <w:sz w:val="24"/>
          <w:szCs w:val="24"/>
        </w:rPr>
        <w:t xml:space="preserve"> το 2020 από 50.000 έως 100.000 € </w:t>
      </w:r>
      <w:r w:rsidRPr="00E76531">
        <w:rPr>
          <w:rFonts w:ascii="Times New Roman" w:hAnsi="Times New Roman" w:cs="Times New Roman"/>
          <w:sz w:val="24"/>
          <w:szCs w:val="24"/>
        </w:rPr>
        <w:t>αντιστοιχούσε στο</w:t>
      </w:r>
      <w:r w:rsidR="00B77B52" w:rsidRPr="00E76531">
        <w:rPr>
          <w:rFonts w:ascii="Times New Roman" w:hAnsi="Times New Roman" w:cs="Times New Roman"/>
          <w:sz w:val="24"/>
          <w:szCs w:val="24"/>
        </w:rPr>
        <w:t xml:space="preserve"> 15,9% </w:t>
      </w:r>
      <w:r w:rsidRPr="00E76531">
        <w:rPr>
          <w:rFonts w:ascii="Times New Roman" w:hAnsi="Times New Roman" w:cs="Times New Roman"/>
          <w:sz w:val="24"/>
          <w:szCs w:val="24"/>
        </w:rPr>
        <w:t>το</w:t>
      </w:r>
      <w:r w:rsidR="00274A97" w:rsidRPr="00E76531">
        <w:rPr>
          <w:rFonts w:ascii="Times New Roman" w:hAnsi="Times New Roman" w:cs="Times New Roman"/>
          <w:sz w:val="24"/>
          <w:szCs w:val="24"/>
        </w:rPr>
        <w:t xml:space="preserve"> </w:t>
      </w:r>
      <w:r w:rsidR="00B77B52" w:rsidRPr="00E76531">
        <w:rPr>
          <w:rFonts w:ascii="Times New Roman" w:hAnsi="Times New Roman" w:cs="Times New Roman"/>
          <w:sz w:val="24"/>
          <w:szCs w:val="24"/>
        </w:rPr>
        <w:t xml:space="preserve">2019, το </w:t>
      </w:r>
      <w:r w:rsidRPr="00E76531">
        <w:rPr>
          <w:rFonts w:ascii="Times New Roman" w:hAnsi="Times New Roman" w:cs="Times New Roman"/>
          <w:sz w:val="24"/>
          <w:szCs w:val="24"/>
        </w:rPr>
        <w:t>15,3</w:t>
      </w:r>
      <w:r w:rsidR="00B77B52" w:rsidRPr="00E76531">
        <w:rPr>
          <w:rFonts w:ascii="Times New Roman" w:hAnsi="Times New Roman" w:cs="Times New Roman"/>
          <w:sz w:val="24"/>
          <w:szCs w:val="24"/>
        </w:rPr>
        <w:t xml:space="preserve">% </w:t>
      </w:r>
      <w:r w:rsidRPr="00E76531">
        <w:rPr>
          <w:rFonts w:ascii="Times New Roman" w:hAnsi="Times New Roman" w:cs="Times New Roman"/>
          <w:sz w:val="24"/>
          <w:szCs w:val="24"/>
        </w:rPr>
        <w:t xml:space="preserve">που </w:t>
      </w:r>
      <w:r w:rsidR="003726B2" w:rsidRPr="00E76531">
        <w:rPr>
          <w:rFonts w:ascii="Times New Roman" w:hAnsi="Times New Roman" w:cs="Times New Roman"/>
          <w:sz w:val="24"/>
          <w:szCs w:val="24"/>
        </w:rPr>
        <w:t xml:space="preserve">δήλωσε </w:t>
      </w:r>
      <w:r w:rsidR="00274A97" w:rsidRPr="00E76531">
        <w:rPr>
          <w:rFonts w:ascii="Times New Roman" w:hAnsi="Times New Roman" w:cs="Times New Roman"/>
          <w:sz w:val="24"/>
          <w:szCs w:val="24"/>
        </w:rPr>
        <w:t xml:space="preserve">ετήσιο </w:t>
      </w:r>
      <w:r w:rsidR="007E7430">
        <w:rPr>
          <w:rFonts w:ascii="Times New Roman" w:hAnsi="Times New Roman" w:cs="Times New Roman"/>
          <w:sz w:val="24"/>
          <w:szCs w:val="24"/>
        </w:rPr>
        <w:t>κύκλο εργασιών</w:t>
      </w:r>
      <w:r w:rsidR="00274A97" w:rsidRPr="00E76531">
        <w:rPr>
          <w:rFonts w:ascii="Times New Roman" w:hAnsi="Times New Roman" w:cs="Times New Roman"/>
          <w:sz w:val="24"/>
          <w:szCs w:val="24"/>
        </w:rPr>
        <w:t xml:space="preserve"> </w:t>
      </w:r>
      <w:r w:rsidR="003726B2" w:rsidRPr="00E76531">
        <w:rPr>
          <w:rFonts w:ascii="Times New Roman" w:hAnsi="Times New Roman" w:cs="Times New Roman"/>
          <w:sz w:val="24"/>
          <w:szCs w:val="24"/>
        </w:rPr>
        <w:t xml:space="preserve">από </w:t>
      </w:r>
      <w:r w:rsidR="00B77B52" w:rsidRPr="00E76531">
        <w:rPr>
          <w:rFonts w:ascii="Times New Roman" w:hAnsi="Times New Roman" w:cs="Times New Roman"/>
          <w:sz w:val="24"/>
          <w:szCs w:val="24"/>
        </w:rPr>
        <w:t xml:space="preserve">100.000 έως 300.000 € </w:t>
      </w:r>
      <w:r w:rsidRPr="00E76531">
        <w:rPr>
          <w:rFonts w:ascii="Times New Roman" w:hAnsi="Times New Roman" w:cs="Times New Roman"/>
          <w:sz w:val="24"/>
          <w:szCs w:val="24"/>
        </w:rPr>
        <w:t xml:space="preserve">το 2020 αντιστοιχούσε στο </w:t>
      </w:r>
      <w:r w:rsidR="00B77B52" w:rsidRPr="00E76531">
        <w:rPr>
          <w:rFonts w:ascii="Times New Roman" w:hAnsi="Times New Roman" w:cs="Times New Roman"/>
          <w:sz w:val="24"/>
          <w:szCs w:val="24"/>
        </w:rPr>
        <w:t>19,9% το 2019, το 5,</w:t>
      </w:r>
      <w:r w:rsidRPr="00E76531">
        <w:rPr>
          <w:rFonts w:ascii="Times New Roman" w:hAnsi="Times New Roman" w:cs="Times New Roman"/>
          <w:sz w:val="24"/>
          <w:szCs w:val="24"/>
        </w:rPr>
        <w:t>2</w:t>
      </w:r>
      <w:r w:rsidR="00B77B52" w:rsidRPr="00E76531">
        <w:rPr>
          <w:rFonts w:ascii="Times New Roman" w:hAnsi="Times New Roman" w:cs="Times New Roman"/>
          <w:sz w:val="24"/>
          <w:szCs w:val="24"/>
        </w:rPr>
        <w:t xml:space="preserve">% </w:t>
      </w:r>
      <w:r w:rsidRPr="00E76531">
        <w:rPr>
          <w:rFonts w:ascii="Times New Roman" w:hAnsi="Times New Roman" w:cs="Times New Roman"/>
          <w:sz w:val="24"/>
          <w:szCs w:val="24"/>
        </w:rPr>
        <w:t xml:space="preserve">που </w:t>
      </w:r>
      <w:r w:rsidR="003726B2" w:rsidRPr="00E76531">
        <w:rPr>
          <w:rFonts w:ascii="Times New Roman" w:hAnsi="Times New Roman" w:cs="Times New Roman"/>
          <w:sz w:val="24"/>
          <w:szCs w:val="24"/>
        </w:rPr>
        <w:t xml:space="preserve">δήλωσε ετήσιο </w:t>
      </w:r>
      <w:r w:rsidR="007E7430">
        <w:rPr>
          <w:rFonts w:ascii="Times New Roman" w:hAnsi="Times New Roman" w:cs="Times New Roman"/>
          <w:sz w:val="24"/>
          <w:szCs w:val="24"/>
        </w:rPr>
        <w:t>κύκλο εργασιών</w:t>
      </w:r>
      <w:r w:rsidR="003726B2" w:rsidRPr="00E76531">
        <w:rPr>
          <w:rFonts w:ascii="Times New Roman" w:hAnsi="Times New Roman" w:cs="Times New Roman"/>
          <w:sz w:val="24"/>
          <w:szCs w:val="24"/>
        </w:rPr>
        <w:t xml:space="preserve"> από </w:t>
      </w:r>
      <w:r w:rsidR="00B77B52" w:rsidRPr="00E76531">
        <w:rPr>
          <w:rFonts w:ascii="Times New Roman" w:hAnsi="Times New Roman" w:cs="Times New Roman"/>
          <w:sz w:val="24"/>
          <w:szCs w:val="24"/>
        </w:rPr>
        <w:t xml:space="preserve">300.000 έως 500.000 € </w:t>
      </w:r>
      <w:r w:rsidRPr="00E76531">
        <w:rPr>
          <w:rFonts w:ascii="Times New Roman" w:hAnsi="Times New Roman" w:cs="Times New Roman"/>
          <w:sz w:val="24"/>
          <w:szCs w:val="24"/>
        </w:rPr>
        <w:t xml:space="preserve">το 2020 αντιστοιχούσε στο </w:t>
      </w:r>
      <w:r w:rsidR="00B77B52" w:rsidRPr="00E76531">
        <w:rPr>
          <w:rFonts w:ascii="Times New Roman" w:hAnsi="Times New Roman" w:cs="Times New Roman"/>
          <w:sz w:val="24"/>
          <w:szCs w:val="24"/>
        </w:rPr>
        <w:t xml:space="preserve">8,7% </w:t>
      </w:r>
      <w:r w:rsidR="003726B2" w:rsidRPr="00E76531">
        <w:rPr>
          <w:rFonts w:ascii="Times New Roman" w:hAnsi="Times New Roman" w:cs="Times New Roman"/>
          <w:sz w:val="24"/>
          <w:szCs w:val="24"/>
        </w:rPr>
        <w:t xml:space="preserve"> </w:t>
      </w:r>
      <w:r w:rsidR="00B77B52" w:rsidRPr="00E76531">
        <w:rPr>
          <w:rFonts w:ascii="Times New Roman" w:hAnsi="Times New Roman" w:cs="Times New Roman"/>
          <w:sz w:val="24"/>
          <w:szCs w:val="24"/>
        </w:rPr>
        <w:t>το 2019, το 4,</w:t>
      </w:r>
      <w:r w:rsidRPr="00E76531">
        <w:rPr>
          <w:rFonts w:ascii="Times New Roman" w:hAnsi="Times New Roman" w:cs="Times New Roman"/>
          <w:sz w:val="24"/>
          <w:szCs w:val="24"/>
        </w:rPr>
        <w:t>6</w:t>
      </w:r>
      <w:r w:rsidR="00B77B52" w:rsidRPr="00E76531">
        <w:rPr>
          <w:rFonts w:ascii="Times New Roman" w:hAnsi="Times New Roman" w:cs="Times New Roman"/>
          <w:sz w:val="24"/>
          <w:szCs w:val="24"/>
        </w:rPr>
        <w:t>%</w:t>
      </w:r>
      <w:r w:rsidRPr="00E76531">
        <w:rPr>
          <w:rFonts w:ascii="Times New Roman" w:hAnsi="Times New Roman" w:cs="Times New Roman"/>
          <w:sz w:val="24"/>
          <w:szCs w:val="24"/>
        </w:rPr>
        <w:t xml:space="preserve"> που</w:t>
      </w:r>
      <w:r w:rsidR="00B77B52" w:rsidRPr="00E76531">
        <w:rPr>
          <w:rFonts w:ascii="Times New Roman" w:hAnsi="Times New Roman" w:cs="Times New Roman"/>
          <w:sz w:val="24"/>
          <w:szCs w:val="24"/>
        </w:rPr>
        <w:t xml:space="preserve"> </w:t>
      </w:r>
      <w:r w:rsidR="003726B2" w:rsidRPr="00E76531">
        <w:rPr>
          <w:rFonts w:ascii="Times New Roman" w:hAnsi="Times New Roman" w:cs="Times New Roman"/>
          <w:sz w:val="24"/>
          <w:szCs w:val="24"/>
        </w:rPr>
        <w:t xml:space="preserve">δήλωσε ετήσιο </w:t>
      </w:r>
      <w:r w:rsidR="007E7430">
        <w:rPr>
          <w:rFonts w:ascii="Times New Roman" w:hAnsi="Times New Roman" w:cs="Times New Roman"/>
          <w:sz w:val="24"/>
          <w:szCs w:val="24"/>
        </w:rPr>
        <w:t>κύκλο εργασιών</w:t>
      </w:r>
      <w:r w:rsidR="003726B2" w:rsidRPr="00E76531">
        <w:rPr>
          <w:rFonts w:ascii="Times New Roman" w:hAnsi="Times New Roman" w:cs="Times New Roman"/>
          <w:sz w:val="24"/>
          <w:szCs w:val="24"/>
        </w:rPr>
        <w:t xml:space="preserve"> από </w:t>
      </w:r>
      <w:r w:rsidR="00B77B52" w:rsidRPr="00E76531">
        <w:rPr>
          <w:rFonts w:ascii="Times New Roman" w:hAnsi="Times New Roman" w:cs="Times New Roman"/>
          <w:sz w:val="24"/>
          <w:szCs w:val="24"/>
        </w:rPr>
        <w:t xml:space="preserve">500.000 έως 1.000.000 € </w:t>
      </w:r>
      <w:r w:rsidRPr="00E76531">
        <w:rPr>
          <w:rFonts w:ascii="Times New Roman" w:hAnsi="Times New Roman" w:cs="Times New Roman"/>
          <w:sz w:val="24"/>
          <w:szCs w:val="24"/>
        </w:rPr>
        <w:t>το 2020 αντιστοιχούσε στο</w:t>
      </w:r>
      <w:r w:rsidR="00B77B52" w:rsidRPr="00E76531">
        <w:rPr>
          <w:rFonts w:ascii="Times New Roman" w:hAnsi="Times New Roman" w:cs="Times New Roman"/>
          <w:sz w:val="24"/>
          <w:szCs w:val="24"/>
        </w:rPr>
        <w:t xml:space="preserve"> 5,1% το 2019 και το </w:t>
      </w:r>
      <w:r w:rsidRPr="00E76531">
        <w:rPr>
          <w:rFonts w:ascii="Times New Roman" w:hAnsi="Times New Roman" w:cs="Times New Roman"/>
          <w:sz w:val="24"/>
          <w:szCs w:val="24"/>
        </w:rPr>
        <w:t>4</w:t>
      </w:r>
      <w:r w:rsidR="00B77B52" w:rsidRPr="00E76531">
        <w:rPr>
          <w:rFonts w:ascii="Times New Roman" w:hAnsi="Times New Roman" w:cs="Times New Roman"/>
          <w:sz w:val="24"/>
          <w:szCs w:val="24"/>
        </w:rPr>
        <w:t xml:space="preserve">,2% </w:t>
      </w:r>
      <w:r w:rsidRPr="00E76531">
        <w:rPr>
          <w:rFonts w:ascii="Times New Roman" w:hAnsi="Times New Roman" w:cs="Times New Roman"/>
          <w:sz w:val="24"/>
          <w:szCs w:val="24"/>
        </w:rPr>
        <w:t xml:space="preserve">που </w:t>
      </w:r>
      <w:r w:rsidR="003726B2" w:rsidRPr="00E76531">
        <w:rPr>
          <w:rFonts w:ascii="Times New Roman" w:hAnsi="Times New Roman" w:cs="Times New Roman"/>
          <w:sz w:val="24"/>
          <w:szCs w:val="24"/>
        </w:rPr>
        <w:t xml:space="preserve">δήλωσε </w:t>
      </w:r>
      <w:r w:rsidR="00B77B52" w:rsidRPr="00E76531">
        <w:rPr>
          <w:rFonts w:ascii="Times New Roman" w:hAnsi="Times New Roman" w:cs="Times New Roman"/>
          <w:sz w:val="24"/>
          <w:szCs w:val="24"/>
        </w:rPr>
        <w:t xml:space="preserve">ετήσιο </w:t>
      </w:r>
      <w:r w:rsidR="007E7430">
        <w:rPr>
          <w:rFonts w:ascii="Times New Roman" w:hAnsi="Times New Roman" w:cs="Times New Roman"/>
          <w:sz w:val="24"/>
          <w:szCs w:val="24"/>
        </w:rPr>
        <w:t>κύκλο εργασιών</w:t>
      </w:r>
      <w:r w:rsidR="00B77B52" w:rsidRPr="00E76531">
        <w:rPr>
          <w:rFonts w:ascii="Times New Roman" w:hAnsi="Times New Roman" w:cs="Times New Roman"/>
          <w:sz w:val="24"/>
          <w:szCs w:val="24"/>
        </w:rPr>
        <w:t xml:space="preserve"> πάνω από 1 εκατομμύριο ευρώ</w:t>
      </w:r>
      <w:r w:rsidRPr="00E76531">
        <w:rPr>
          <w:rFonts w:ascii="Times New Roman" w:hAnsi="Times New Roman" w:cs="Times New Roman"/>
          <w:sz w:val="24"/>
          <w:szCs w:val="24"/>
        </w:rPr>
        <w:t xml:space="preserve"> το 2020 αντιστοιχούσε στο</w:t>
      </w:r>
      <w:r w:rsidR="00B77B52" w:rsidRPr="00E76531">
        <w:rPr>
          <w:rFonts w:ascii="Times New Roman" w:hAnsi="Times New Roman" w:cs="Times New Roman"/>
          <w:sz w:val="24"/>
          <w:szCs w:val="24"/>
        </w:rPr>
        <w:t xml:space="preserve"> 8,2% το 2019.</w:t>
      </w:r>
    </w:p>
    <w:p w14:paraId="6FBC1C31" w14:textId="33D1686D" w:rsidR="00E76531" w:rsidRPr="00E76531" w:rsidRDefault="00E76531" w:rsidP="00A417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Με </w:t>
      </w:r>
      <w:r w:rsidR="00392F68">
        <w:rPr>
          <w:rFonts w:ascii="Times New Roman" w:hAnsi="Times New Roman" w:cs="Times New Roman"/>
          <w:sz w:val="24"/>
          <w:szCs w:val="24"/>
        </w:rPr>
        <w:t>άλλα</w:t>
      </w:r>
      <w:r>
        <w:rPr>
          <w:rFonts w:ascii="Times New Roman" w:hAnsi="Times New Roman" w:cs="Times New Roman"/>
          <w:sz w:val="24"/>
          <w:szCs w:val="24"/>
        </w:rPr>
        <w:t xml:space="preserve"> λόγια φαίνεται πως κατά τη διάρκεια του 2020 μειώθηκε δραματικά και </w:t>
      </w:r>
      <w:r w:rsidR="00392F68">
        <w:rPr>
          <w:rFonts w:ascii="Times New Roman" w:hAnsi="Times New Roman" w:cs="Times New Roman"/>
          <w:sz w:val="24"/>
          <w:szCs w:val="24"/>
        </w:rPr>
        <w:t>οριζόντια</w:t>
      </w:r>
      <w:r>
        <w:rPr>
          <w:rFonts w:ascii="Times New Roman" w:hAnsi="Times New Roman" w:cs="Times New Roman"/>
          <w:sz w:val="24"/>
          <w:szCs w:val="24"/>
        </w:rPr>
        <w:t xml:space="preserve"> ο κύκλος εργασιών των επιχειρήσεων καθώς η μόνη κατηγορία κύκλου εργασιών που παρουσιάζει </w:t>
      </w:r>
      <w:r w:rsidR="00392F68">
        <w:rPr>
          <w:rFonts w:ascii="Times New Roman" w:hAnsi="Times New Roman" w:cs="Times New Roman"/>
          <w:sz w:val="24"/>
          <w:szCs w:val="24"/>
        </w:rPr>
        <w:t>αύξηση</w:t>
      </w:r>
      <w:r>
        <w:rPr>
          <w:rFonts w:ascii="Times New Roman" w:hAnsi="Times New Roman" w:cs="Times New Roman"/>
          <w:sz w:val="24"/>
          <w:szCs w:val="24"/>
        </w:rPr>
        <w:t xml:space="preserve"> επιχειρήσεων και μάλιστα σημαντικά είναι αυτή των επιχειρήσεων</w:t>
      </w:r>
      <w:r w:rsidR="00392F68">
        <w:rPr>
          <w:rFonts w:ascii="Times New Roman" w:hAnsi="Times New Roman" w:cs="Times New Roman"/>
          <w:sz w:val="24"/>
          <w:szCs w:val="24"/>
        </w:rPr>
        <w:t xml:space="preserve"> που δήλωσαν ετήσιο </w:t>
      </w:r>
      <w:r w:rsidR="007E7430">
        <w:rPr>
          <w:rFonts w:ascii="Times New Roman" w:hAnsi="Times New Roman" w:cs="Times New Roman"/>
          <w:sz w:val="24"/>
          <w:szCs w:val="24"/>
        </w:rPr>
        <w:t>κύκλο εργασιών</w:t>
      </w:r>
      <w:r w:rsidR="007E7430" w:rsidRPr="00E76531">
        <w:rPr>
          <w:rFonts w:ascii="Times New Roman" w:hAnsi="Times New Roman" w:cs="Times New Roman"/>
          <w:sz w:val="24"/>
          <w:szCs w:val="24"/>
        </w:rPr>
        <w:t xml:space="preserve"> </w:t>
      </w:r>
      <w:r w:rsidR="00392F68">
        <w:rPr>
          <w:rFonts w:ascii="Times New Roman" w:hAnsi="Times New Roman" w:cs="Times New Roman"/>
          <w:sz w:val="24"/>
          <w:szCs w:val="24"/>
        </w:rPr>
        <w:t xml:space="preserve"> κάτω από 50.000 €.</w:t>
      </w:r>
    </w:p>
    <w:p w14:paraId="1AEE02C4" w14:textId="039FE023" w:rsidR="00D25A9C" w:rsidRPr="00E36734" w:rsidRDefault="00B77B52" w:rsidP="00A417BC">
      <w:pPr>
        <w:spacing w:after="0" w:line="360" w:lineRule="auto"/>
        <w:jc w:val="both"/>
        <w:rPr>
          <w:rFonts w:ascii="Times New Roman" w:hAnsi="Times New Roman" w:cs="Times New Roman"/>
          <w:sz w:val="24"/>
          <w:szCs w:val="24"/>
        </w:rPr>
      </w:pPr>
      <w:r w:rsidRPr="00392F68">
        <w:rPr>
          <w:rFonts w:ascii="Times New Roman" w:hAnsi="Times New Roman" w:cs="Times New Roman"/>
          <w:sz w:val="24"/>
          <w:szCs w:val="24"/>
        </w:rPr>
        <w:t>Από τα επιμέρους στοιχεία</w:t>
      </w:r>
      <w:r w:rsidR="007E7430">
        <w:rPr>
          <w:rFonts w:ascii="Times New Roman" w:hAnsi="Times New Roman" w:cs="Times New Roman"/>
          <w:sz w:val="24"/>
          <w:szCs w:val="24"/>
        </w:rPr>
        <w:t>,</w:t>
      </w:r>
      <w:r w:rsidRPr="00392F68">
        <w:rPr>
          <w:rFonts w:ascii="Times New Roman" w:hAnsi="Times New Roman" w:cs="Times New Roman"/>
          <w:sz w:val="24"/>
          <w:szCs w:val="24"/>
        </w:rPr>
        <w:t xml:space="preserve"> οι μεγαλύτερες συγκεντρώσεις επιχειρήσεις στην χαμηλότερη κατηγορία ετήσιου </w:t>
      </w:r>
      <w:r w:rsidR="007E7430">
        <w:rPr>
          <w:rFonts w:ascii="Times New Roman" w:hAnsi="Times New Roman" w:cs="Times New Roman"/>
          <w:sz w:val="24"/>
          <w:szCs w:val="24"/>
        </w:rPr>
        <w:t>κύκλο εργασιών</w:t>
      </w:r>
      <w:r w:rsidRPr="00392F68">
        <w:rPr>
          <w:rFonts w:ascii="Times New Roman" w:hAnsi="Times New Roman" w:cs="Times New Roman"/>
          <w:sz w:val="24"/>
          <w:szCs w:val="24"/>
        </w:rPr>
        <w:t>, δηλαδή κάτω από 50.000 €, παρατηρούνται στις υπηρεσίες (</w:t>
      </w:r>
      <w:r w:rsidR="00392F68" w:rsidRPr="00392F68">
        <w:rPr>
          <w:rFonts w:ascii="Times New Roman" w:hAnsi="Times New Roman" w:cs="Times New Roman"/>
          <w:sz w:val="24"/>
          <w:szCs w:val="24"/>
        </w:rPr>
        <w:t>61,4</w:t>
      </w:r>
      <w:r w:rsidRPr="00392F68">
        <w:rPr>
          <w:rFonts w:ascii="Times New Roman" w:hAnsi="Times New Roman" w:cs="Times New Roman"/>
          <w:sz w:val="24"/>
          <w:szCs w:val="24"/>
        </w:rPr>
        <w:t>%) στις επιχειρήσεις χωρίς προσωπικό (</w:t>
      </w:r>
      <w:r w:rsidR="00392F68" w:rsidRPr="00392F68">
        <w:rPr>
          <w:rFonts w:ascii="Times New Roman" w:hAnsi="Times New Roman" w:cs="Times New Roman"/>
          <w:sz w:val="24"/>
          <w:szCs w:val="24"/>
        </w:rPr>
        <w:t>76</w:t>
      </w:r>
      <w:r w:rsidRPr="00392F68">
        <w:rPr>
          <w:rFonts w:ascii="Times New Roman" w:hAnsi="Times New Roman" w:cs="Times New Roman"/>
          <w:sz w:val="24"/>
          <w:szCs w:val="24"/>
        </w:rPr>
        <w:t>%) και στις επιχειρήσεις που ανέστειλαν τη λειτουργία τους με κρατική εντολή (</w:t>
      </w:r>
      <w:r w:rsidR="00392F68" w:rsidRPr="00392F68">
        <w:rPr>
          <w:rFonts w:ascii="Times New Roman" w:hAnsi="Times New Roman" w:cs="Times New Roman"/>
          <w:sz w:val="24"/>
          <w:szCs w:val="24"/>
        </w:rPr>
        <w:t>57,6</w:t>
      </w:r>
      <w:r w:rsidRPr="00392F68">
        <w:rPr>
          <w:rFonts w:ascii="Times New Roman" w:hAnsi="Times New Roman" w:cs="Times New Roman"/>
          <w:sz w:val="24"/>
          <w:szCs w:val="24"/>
        </w:rPr>
        <w:t>%).</w:t>
      </w:r>
      <w:bookmarkEnd w:id="6"/>
    </w:p>
    <w:p w14:paraId="3E6EC9D2" w14:textId="04EDAEDA" w:rsidR="00D25A9C" w:rsidRPr="00E36734" w:rsidRDefault="00D25A9C" w:rsidP="00A417BC">
      <w:pPr>
        <w:spacing w:after="0" w:line="360" w:lineRule="auto"/>
        <w:jc w:val="both"/>
        <w:rPr>
          <w:rFonts w:ascii="Times New Roman" w:hAnsi="Times New Roman" w:cs="Times New Roman"/>
          <w:sz w:val="24"/>
          <w:szCs w:val="24"/>
        </w:rPr>
      </w:pPr>
      <w:r w:rsidRPr="00E36734">
        <w:rPr>
          <w:noProof/>
          <w:lang w:val="en-US"/>
        </w:rPr>
        <w:drawing>
          <wp:inline distT="0" distB="0" distL="0" distR="0" wp14:anchorId="23A4BACD" wp14:editId="73EF25BD">
            <wp:extent cx="6499860" cy="2880360"/>
            <wp:effectExtent l="0" t="0" r="15240" b="15240"/>
            <wp:docPr id="1" name="Γράφημα 1">
              <a:extLst xmlns:a="http://schemas.openxmlformats.org/drawingml/2006/main">
                <a:ext uri="{FF2B5EF4-FFF2-40B4-BE49-F238E27FC236}">
                  <a16:creationId xmlns:a16="http://schemas.microsoft.com/office/drawing/2014/main" id="{AB914BEA-5232-43BC-B996-80B076443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4C1067" w14:textId="5C0EFFCA" w:rsidR="00F76EE1" w:rsidRPr="00323E8F" w:rsidRDefault="00F76EE1" w:rsidP="00A417BC">
      <w:pPr>
        <w:spacing w:after="0" w:line="360" w:lineRule="auto"/>
        <w:jc w:val="both"/>
        <w:rPr>
          <w:rFonts w:ascii="Times New Roman" w:hAnsi="Times New Roman" w:cs="Times New Roman"/>
          <w:sz w:val="24"/>
          <w:szCs w:val="24"/>
        </w:rPr>
      </w:pPr>
      <w:bookmarkStart w:id="7" w:name="_Hlk68246135"/>
      <w:r w:rsidRPr="00323E8F">
        <w:rPr>
          <w:rFonts w:ascii="Times New Roman" w:hAnsi="Times New Roman" w:cs="Times New Roman"/>
          <w:sz w:val="24"/>
          <w:szCs w:val="24"/>
        </w:rPr>
        <w:t>Όσον αφορά τις επιχειρήσεις εστίασης</w:t>
      </w:r>
      <w:r w:rsidR="007E7430">
        <w:rPr>
          <w:rFonts w:ascii="Times New Roman" w:hAnsi="Times New Roman" w:cs="Times New Roman"/>
          <w:sz w:val="24"/>
          <w:szCs w:val="24"/>
        </w:rPr>
        <w:t>,</w:t>
      </w:r>
      <w:r w:rsidRPr="00323E8F">
        <w:rPr>
          <w:rFonts w:ascii="Times New Roman" w:hAnsi="Times New Roman" w:cs="Times New Roman"/>
          <w:sz w:val="24"/>
          <w:szCs w:val="24"/>
        </w:rPr>
        <w:t xml:space="preserve"> </w:t>
      </w:r>
      <w:r w:rsidR="00B158EC" w:rsidRPr="00323E8F">
        <w:rPr>
          <w:rFonts w:ascii="Times New Roman" w:hAnsi="Times New Roman" w:cs="Times New Roman"/>
          <w:sz w:val="24"/>
          <w:szCs w:val="24"/>
        </w:rPr>
        <w:t>α</w:t>
      </w:r>
      <w:r w:rsidRPr="00323E8F">
        <w:rPr>
          <w:rFonts w:ascii="Times New Roman" w:hAnsi="Times New Roman" w:cs="Times New Roman"/>
          <w:sz w:val="24"/>
          <w:szCs w:val="24"/>
        </w:rPr>
        <w:t>πό τα ευρήματα</w:t>
      </w:r>
      <w:r w:rsidR="00B158EC" w:rsidRPr="00323E8F">
        <w:rPr>
          <w:rFonts w:ascii="Times New Roman" w:hAnsi="Times New Roman" w:cs="Times New Roman"/>
          <w:sz w:val="24"/>
          <w:szCs w:val="24"/>
        </w:rPr>
        <w:t xml:space="preserve"> της έρευνας</w:t>
      </w:r>
      <w:r w:rsidRPr="00323E8F">
        <w:rPr>
          <w:rFonts w:ascii="Times New Roman" w:hAnsi="Times New Roman" w:cs="Times New Roman"/>
          <w:sz w:val="24"/>
          <w:szCs w:val="24"/>
        </w:rPr>
        <w:t xml:space="preserve"> φαίνεται πως έχουν </w:t>
      </w:r>
      <w:r w:rsidR="00323E8F" w:rsidRPr="00323E8F">
        <w:rPr>
          <w:rFonts w:ascii="Times New Roman" w:hAnsi="Times New Roman" w:cs="Times New Roman"/>
          <w:sz w:val="24"/>
          <w:szCs w:val="24"/>
        </w:rPr>
        <w:t>υπερ</w:t>
      </w:r>
      <w:r w:rsidRPr="00323E8F">
        <w:rPr>
          <w:rFonts w:ascii="Times New Roman" w:hAnsi="Times New Roman" w:cs="Times New Roman"/>
          <w:sz w:val="24"/>
          <w:szCs w:val="24"/>
        </w:rPr>
        <w:t>διπλασιαστεί οι επιχειρήσεις που δηλώνουν ετήσιο κύκλο εργασιών κάτω από 50.000 €</w:t>
      </w:r>
      <w:r w:rsidR="00B158EC" w:rsidRPr="00323E8F">
        <w:rPr>
          <w:rFonts w:ascii="Times New Roman" w:hAnsi="Times New Roman" w:cs="Times New Roman"/>
          <w:sz w:val="24"/>
          <w:szCs w:val="24"/>
        </w:rPr>
        <w:t>. Από το</w:t>
      </w:r>
      <w:r w:rsidRPr="00323E8F">
        <w:rPr>
          <w:rFonts w:ascii="Times New Roman" w:hAnsi="Times New Roman" w:cs="Times New Roman"/>
          <w:sz w:val="24"/>
          <w:szCs w:val="24"/>
        </w:rPr>
        <w:t xml:space="preserve"> </w:t>
      </w:r>
      <w:r w:rsidR="00B158EC" w:rsidRPr="00323E8F">
        <w:rPr>
          <w:rFonts w:ascii="Times New Roman" w:hAnsi="Times New Roman" w:cs="Times New Roman"/>
          <w:sz w:val="24"/>
          <w:szCs w:val="24"/>
        </w:rPr>
        <w:t xml:space="preserve">23% που ήταν το 2019 ανήλθε στο </w:t>
      </w:r>
      <w:r w:rsidR="00323E8F" w:rsidRPr="00323E8F">
        <w:rPr>
          <w:rFonts w:ascii="Times New Roman" w:hAnsi="Times New Roman" w:cs="Times New Roman"/>
          <w:sz w:val="24"/>
          <w:szCs w:val="24"/>
        </w:rPr>
        <w:t>50</w:t>
      </w:r>
      <w:r w:rsidR="00B158EC" w:rsidRPr="00323E8F">
        <w:rPr>
          <w:rFonts w:ascii="Times New Roman" w:hAnsi="Times New Roman" w:cs="Times New Roman"/>
          <w:sz w:val="24"/>
          <w:szCs w:val="24"/>
        </w:rPr>
        <w:t xml:space="preserve">,5 το ποσοστό των επιχειρήσεων του κλάδου που δήλωσε πως ο ετήσιος </w:t>
      </w:r>
      <w:r w:rsidR="007E7430">
        <w:rPr>
          <w:rFonts w:ascii="Times New Roman" w:hAnsi="Times New Roman" w:cs="Times New Roman"/>
          <w:sz w:val="24"/>
          <w:szCs w:val="24"/>
        </w:rPr>
        <w:t>κύκλος εργασιών</w:t>
      </w:r>
      <w:r w:rsidR="007E7430" w:rsidRPr="00E76531">
        <w:rPr>
          <w:rFonts w:ascii="Times New Roman" w:hAnsi="Times New Roman" w:cs="Times New Roman"/>
          <w:sz w:val="24"/>
          <w:szCs w:val="24"/>
        </w:rPr>
        <w:t xml:space="preserve"> </w:t>
      </w:r>
      <w:r w:rsidR="00B158EC" w:rsidRPr="00323E8F">
        <w:rPr>
          <w:rFonts w:ascii="Times New Roman" w:hAnsi="Times New Roman" w:cs="Times New Roman"/>
          <w:sz w:val="24"/>
          <w:szCs w:val="24"/>
        </w:rPr>
        <w:t xml:space="preserve"> του το 2020 ήταν κάτω από 50.000 €. </w:t>
      </w:r>
    </w:p>
    <w:p w14:paraId="194F6A3C" w14:textId="0772BACB" w:rsidR="00BC259B" w:rsidRDefault="00FA1CB8" w:rsidP="00A417BC">
      <w:pPr>
        <w:spacing w:after="0" w:line="360" w:lineRule="auto"/>
        <w:jc w:val="both"/>
        <w:rPr>
          <w:rFonts w:ascii="Times New Roman" w:hAnsi="Times New Roman" w:cs="Times New Roman"/>
          <w:sz w:val="24"/>
          <w:szCs w:val="24"/>
        </w:rPr>
      </w:pPr>
      <w:r w:rsidRPr="00210E6D">
        <w:rPr>
          <w:rFonts w:ascii="Times New Roman" w:hAnsi="Times New Roman" w:cs="Times New Roman"/>
          <w:sz w:val="24"/>
          <w:szCs w:val="24"/>
        </w:rPr>
        <w:lastRenderedPageBreak/>
        <w:t xml:space="preserve">Ανάλογα είναι και τα στοιχεία σχετικά με </w:t>
      </w:r>
      <w:r w:rsidR="00210E6D" w:rsidRPr="00210E6D">
        <w:rPr>
          <w:rFonts w:ascii="Times New Roman" w:hAnsi="Times New Roman" w:cs="Times New Roman"/>
          <w:sz w:val="24"/>
          <w:szCs w:val="24"/>
        </w:rPr>
        <w:t>τα κέρδη ή τις ζημιές που δήλωσαν οι μικρές και πολύ μικρές επιχε</w:t>
      </w:r>
      <w:r w:rsidR="007E7430">
        <w:rPr>
          <w:rFonts w:ascii="Times New Roman" w:hAnsi="Times New Roman" w:cs="Times New Roman"/>
          <w:sz w:val="24"/>
          <w:szCs w:val="24"/>
        </w:rPr>
        <w:t>ι</w:t>
      </w:r>
      <w:r w:rsidR="00210E6D" w:rsidRPr="00210E6D">
        <w:rPr>
          <w:rFonts w:ascii="Times New Roman" w:hAnsi="Times New Roman" w:cs="Times New Roman"/>
          <w:sz w:val="24"/>
          <w:szCs w:val="24"/>
        </w:rPr>
        <w:t>ρ</w:t>
      </w:r>
      <w:r w:rsidR="007E7430">
        <w:rPr>
          <w:rFonts w:ascii="Times New Roman" w:hAnsi="Times New Roman" w:cs="Times New Roman"/>
          <w:sz w:val="24"/>
          <w:szCs w:val="24"/>
        </w:rPr>
        <w:t>ή</w:t>
      </w:r>
      <w:r w:rsidR="00210E6D" w:rsidRPr="00210E6D">
        <w:rPr>
          <w:rFonts w:ascii="Times New Roman" w:hAnsi="Times New Roman" w:cs="Times New Roman"/>
          <w:sz w:val="24"/>
          <w:szCs w:val="24"/>
        </w:rPr>
        <w:t>σ</w:t>
      </w:r>
      <w:r w:rsidR="007E7430">
        <w:rPr>
          <w:rFonts w:ascii="Times New Roman" w:hAnsi="Times New Roman" w:cs="Times New Roman"/>
          <w:sz w:val="24"/>
          <w:szCs w:val="24"/>
        </w:rPr>
        <w:t>ει</w:t>
      </w:r>
      <w:r w:rsidR="00210E6D" w:rsidRPr="00210E6D">
        <w:rPr>
          <w:rFonts w:ascii="Times New Roman" w:hAnsi="Times New Roman" w:cs="Times New Roman"/>
          <w:sz w:val="24"/>
          <w:szCs w:val="24"/>
        </w:rPr>
        <w:t xml:space="preserve">ς. </w:t>
      </w:r>
      <w:r w:rsidRPr="00210E6D">
        <w:rPr>
          <w:rFonts w:ascii="Times New Roman" w:hAnsi="Times New Roman" w:cs="Times New Roman"/>
          <w:sz w:val="24"/>
          <w:szCs w:val="24"/>
        </w:rPr>
        <w:t xml:space="preserve"> Όπως φαίνεται στο Γράφημα</w:t>
      </w:r>
      <w:r w:rsidR="003726B2" w:rsidRPr="00210E6D">
        <w:rPr>
          <w:rFonts w:ascii="Times New Roman" w:hAnsi="Times New Roman" w:cs="Times New Roman"/>
          <w:sz w:val="24"/>
          <w:szCs w:val="24"/>
        </w:rPr>
        <w:t xml:space="preserve"> </w:t>
      </w:r>
      <w:r w:rsidR="00323E8F" w:rsidRPr="00210E6D">
        <w:rPr>
          <w:rFonts w:ascii="Times New Roman" w:hAnsi="Times New Roman" w:cs="Times New Roman"/>
          <w:sz w:val="24"/>
          <w:szCs w:val="24"/>
        </w:rPr>
        <w:t>9</w:t>
      </w:r>
      <w:r w:rsidR="00F90F82">
        <w:rPr>
          <w:rFonts w:ascii="Times New Roman" w:hAnsi="Times New Roman" w:cs="Times New Roman"/>
          <w:sz w:val="24"/>
          <w:szCs w:val="24"/>
        </w:rPr>
        <w:t>,</w:t>
      </w:r>
      <w:r w:rsidRPr="00210E6D">
        <w:rPr>
          <w:rFonts w:ascii="Times New Roman" w:hAnsi="Times New Roman" w:cs="Times New Roman"/>
          <w:sz w:val="24"/>
          <w:szCs w:val="24"/>
        </w:rPr>
        <w:t xml:space="preserve"> </w:t>
      </w:r>
      <w:r w:rsidR="003726B2" w:rsidRPr="00210E6D">
        <w:rPr>
          <w:rFonts w:ascii="Times New Roman" w:hAnsi="Times New Roman" w:cs="Times New Roman"/>
          <w:sz w:val="24"/>
          <w:szCs w:val="24"/>
        </w:rPr>
        <w:t>σ</w:t>
      </w:r>
      <w:r w:rsidRPr="00210E6D">
        <w:rPr>
          <w:rFonts w:ascii="Times New Roman" w:hAnsi="Times New Roman" w:cs="Times New Roman"/>
          <w:sz w:val="24"/>
          <w:szCs w:val="24"/>
        </w:rPr>
        <w:t xml:space="preserve">χεδόν </w:t>
      </w:r>
      <w:bookmarkStart w:id="8" w:name="_Hlk68074872"/>
      <w:r w:rsidR="00210E6D" w:rsidRPr="00210E6D">
        <w:rPr>
          <w:rFonts w:ascii="Times New Roman" w:hAnsi="Times New Roman" w:cs="Times New Roman"/>
          <w:sz w:val="24"/>
          <w:szCs w:val="24"/>
        </w:rPr>
        <w:t>τριπ</w:t>
      </w:r>
      <w:r w:rsidRPr="00210E6D">
        <w:rPr>
          <w:rFonts w:ascii="Times New Roman" w:hAnsi="Times New Roman" w:cs="Times New Roman"/>
          <w:sz w:val="24"/>
          <w:szCs w:val="24"/>
        </w:rPr>
        <w:t>λασιάστηκαν οι επιχειρήσεις που</w:t>
      </w:r>
      <w:r w:rsidR="00E22D6F" w:rsidRPr="00210E6D">
        <w:rPr>
          <w:rFonts w:ascii="Times New Roman" w:hAnsi="Times New Roman" w:cs="Times New Roman"/>
          <w:sz w:val="24"/>
          <w:szCs w:val="24"/>
        </w:rPr>
        <w:t xml:space="preserve"> το 2020</w:t>
      </w:r>
      <w:r w:rsidRPr="00210E6D">
        <w:rPr>
          <w:rFonts w:ascii="Times New Roman" w:hAnsi="Times New Roman" w:cs="Times New Roman"/>
          <w:sz w:val="24"/>
          <w:szCs w:val="24"/>
        </w:rPr>
        <w:t xml:space="preserve"> σε σύγκριση με το 2019 </w:t>
      </w:r>
      <w:r w:rsidR="00210E6D" w:rsidRPr="00210E6D">
        <w:rPr>
          <w:rFonts w:ascii="Times New Roman" w:hAnsi="Times New Roman" w:cs="Times New Roman"/>
          <w:sz w:val="24"/>
          <w:szCs w:val="24"/>
        </w:rPr>
        <w:t>δήλωσαν πως είχαν ζημιές ή μηδενικά κέρδη</w:t>
      </w:r>
      <w:r w:rsidR="008A710D" w:rsidRPr="00210E6D">
        <w:rPr>
          <w:rFonts w:ascii="Times New Roman" w:hAnsi="Times New Roman" w:cs="Times New Roman"/>
          <w:sz w:val="24"/>
          <w:szCs w:val="24"/>
        </w:rPr>
        <w:t>.</w:t>
      </w:r>
      <w:bookmarkEnd w:id="8"/>
      <w:r w:rsidR="00210E6D">
        <w:rPr>
          <w:rFonts w:ascii="Times New Roman" w:hAnsi="Times New Roman" w:cs="Times New Roman"/>
          <w:sz w:val="24"/>
          <w:szCs w:val="24"/>
        </w:rPr>
        <w:t xml:space="preserve"> Οι επιχειρήσεις μάλιστα που κατέγραψαν ζημιές αντιστοιχούν στο 15,7% έναντι του 7% που δήλωσε πως είχε μηδενικό αποτέλεσμα.</w:t>
      </w:r>
      <w:bookmarkEnd w:id="7"/>
    </w:p>
    <w:p w14:paraId="5774A6F5" w14:textId="77777777" w:rsidR="00045567" w:rsidRPr="00E36734" w:rsidRDefault="00045567" w:rsidP="00A417BC">
      <w:pPr>
        <w:spacing w:after="0" w:line="360" w:lineRule="auto"/>
        <w:jc w:val="both"/>
        <w:rPr>
          <w:rFonts w:ascii="Times New Roman" w:hAnsi="Times New Roman" w:cs="Times New Roman"/>
          <w:sz w:val="24"/>
          <w:szCs w:val="24"/>
        </w:rPr>
      </w:pPr>
    </w:p>
    <w:p w14:paraId="668C9124" w14:textId="5085C9A5" w:rsidR="00293299" w:rsidRDefault="00293299" w:rsidP="00B158E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ΓΡΑΦΗΜΑ</w:t>
      </w:r>
      <w:r w:rsidR="00DF2079">
        <w:rPr>
          <w:rFonts w:ascii="Times New Roman" w:hAnsi="Times New Roman" w:cs="Times New Roman"/>
          <w:b/>
          <w:bCs/>
          <w:sz w:val="24"/>
          <w:szCs w:val="24"/>
        </w:rPr>
        <w:t xml:space="preserve"> 9</w:t>
      </w:r>
    </w:p>
    <w:p w14:paraId="06EF049A" w14:textId="56A7FC04" w:rsidR="00293299" w:rsidRDefault="00293299" w:rsidP="00B158EC">
      <w:pPr>
        <w:spacing w:after="0" w:line="360" w:lineRule="auto"/>
        <w:jc w:val="center"/>
        <w:rPr>
          <w:rFonts w:ascii="Times New Roman" w:hAnsi="Times New Roman" w:cs="Times New Roman"/>
          <w:b/>
          <w:bCs/>
          <w:sz w:val="24"/>
          <w:szCs w:val="24"/>
        </w:rPr>
      </w:pPr>
      <w:r w:rsidRPr="00293299">
        <w:rPr>
          <w:rFonts w:ascii="Times New Roman" w:hAnsi="Times New Roman" w:cs="Times New Roman"/>
          <w:b/>
          <w:bCs/>
          <w:sz w:val="24"/>
          <w:szCs w:val="24"/>
        </w:rPr>
        <w:t xml:space="preserve">ΣΥΚΡΙΣΗ ΦΟΡΟΛΟΓΗΤΕΟΥ ΠΟΣΟΥ </w:t>
      </w:r>
      <w:r w:rsidR="00235704">
        <w:rPr>
          <w:rFonts w:ascii="Times New Roman" w:hAnsi="Times New Roman" w:cs="Times New Roman"/>
          <w:b/>
          <w:bCs/>
          <w:sz w:val="24"/>
          <w:szCs w:val="24"/>
        </w:rPr>
        <w:t>ΕΤΩΝ 2020 &amp; 2019</w:t>
      </w:r>
    </w:p>
    <w:p w14:paraId="0D8DF34A" w14:textId="34C964D8" w:rsidR="00BC259B" w:rsidRPr="00E36734" w:rsidRDefault="00293299" w:rsidP="00A417BC">
      <w:pPr>
        <w:spacing w:after="0" w:line="360" w:lineRule="auto"/>
        <w:jc w:val="both"/>
        <w:rPr>
          <w:rFonts w:ascii="Times New Roman" w:hAnsi="Times New Roman" w:cs="Times New Roman"/>
          <w:sz w:val="24"/>
          <w:szCs w:val="24"/>
        </w:rPr>
      </w:pPr>
      <w:r w:rsidRPr="00293299">
        <w:rPr>
          <w:rFonts w:ascii="Times New Roman" w:hAnsi="Times New Roman" w:cs="Times New Roman"/>
          <w:noProof/>
          <w:sz w:val="20"/>
          <w:szCs w:val="20"/>
          <w:lang w:val="en-US"/>
        </w:rPr>
        <w:drawing>
          <wp:inline distT="0" distB="0" distL="0" distR="0" wp14:anchorId="2D2E936D" wp14:editId="3F43CA98">
            <wp:extent cx="6576060" cy="2621280"/>
            <wp:effectExtent l="0" t="0" r="15240" b="26670"/>
            <wp:docPr id="24"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D8AA4F" w14:textId="0923062A" w:rsidR="00BC259B" w:rsidRPr="00DF2079" w:rsidRDefault="008A710D" w:rsidP="00A417BC">
      <w:pPr>
        <w:spacing w:after="0" w:line="360" w:lineRule="auto"/>
        <w:jc w:val="both"/>
        <w:rPr>
          <w:rFonts w:ascii="Times New Roman" w:hAnsi="Times New Roman" w:cs="Times New Roman"/>
          <w:sz w:val="24"/>
          <w:szCs w:val="24"/>
        </w:rPr>
      </w:pPr>
      <w:r w:rsidRPr="00DF2079">
        <w:rPr>
          <w:rFonts w:ascii="Times New Roman" w:hAnsi="Times New Roman" w:cs="Times New Roman"/>
          <w:sz w:val="24"/>
          <w:szCs w:val="24"/>
        </w:rPr>
        <w:t xml:space="preserve">Οι μεγαλύτερες συγκεντρώσεις </w:t>
      </w:r>
      <w:r w:rsidR="00344F20" w:rsidRPr="00DF2079">
        <w:rPr>
          <w:rFonts w:ascii="Times New Roman" w:hAnsi="Times New Roman" w:cs="Times New Roman"/>
          <w:sz w:val="24"/>
          <w:szCs w:val="24"/>
        </w:rPr>
        <w:t>ανά</w:t>
      </w:r>
      <w:r w:rsidRPr="00DF2079">
        <w:rPr>
          <w:rFonts w:ascii="Times New Roman" w:hAnsi="Times New Roman" w:cs="Times New Roman"/>
          <w:sz w:val="24"/>
          <w:szCs w:val="24"/>
        </w:rPr>
        <w:t xml:space="preserve"> κατηγορία επιχειρήσεων που παρουσίασαν ζημιές</w:t>
      </w:r>
      <w:r w:rsidR="00DF2079" w:rsidRPr="00DF2079">
        <w:rPr>
          <w:rFonts w:ascii="Times New Roman" w:hAnsi="Times New Roman" w:cs="Times New Roman"/>
          <w:sz w:val="24"/>
          <w:szCs w:val="24"/>
        </w:rPr>
        <w:t xml:space="preserve"> ή μηδενικά κέρδη</w:t>
      </w:r>
      <w:r w:rsidRPr="00DF2079">
        <w:rPr>
          <w:rFonts w:ascii="Times New Roman" w:hAnsi="Times New Roman" w:cs="Times New Roman"/>
          <w:sz w:val="24"/>
          <w:szCs w:val="24"/>
        </w:rPr>
        <w:t xml:space="preserve"> το 2020 παρατηρούνται</w:t>
      </w:r>
      <w:r w:rsidR="00210E6D" w:rsidRPr="00DF2079">
        <w:rPr>
          <w:rFonts w:ascii="Times New Roman" w:hAnsi="Times New Roman" w:cs="Times New Roman"/>
          <w:sz w:val="24"/>
          <w:szCs w:val="24"/>
        </w:rPr>
        <w:t xml:space="preserve"> </w:t>
      </w:r>
      <w:r w:rsidRPr="00DF2079">
        <w:rPr>
          <w:rFonts w:ascii="Times New Roman" w:hAnsi="Times New Roman" w:cs="Times New Roman"/>
          <w:sz w:val="24"/>
          <w:szCs w:val="24"/>
        </w:rPr>
        <w:t xml:space="preserve">στις επιχειρήσεις με ετήσιο </w:t>
      </w:r>
      <w:r w:rsidR="00FB4180">
        <w:rPr>
          <w:rFonts w:ascii="Times New Roman" w:hAnsi="Times New Roman" w:cs="Times New Roman"/>
          <w:sz w:val="24"/>
          <w:szCs w:val="24"/>
        </w:rPr>
        <w:t>κύκλο εργασιών</w:t>
      </w:r>
      <w:r w:rsidR="00FB4180" w:rsidRPr="00E76531">
        <w:rPr>
          <w:rFonts w:ascii="Times New Roman" w:hAnsi="Times New Roman" w:cs="Times New Roman"/>
          <w:sz w:val="24"/>
          <w:szCs w:val="24"/>
        </w:rPr>
        <w:t xml:space="preserve"> </w:t>
      </w:r>
      <w:r w:rsidRPr="00DF2079">
        <w:rPr>
          <w:rFonts w:ascii="Times New Roman" w:hAnsi="Times New Roman" w:cs="Times New Roman"/>
          <w:sz w:val="24"/>
          <w:szCs w:val="24"/>
        </w:rPr>
        <w:t xml:space="preserve"> κάτω από 50.000 € (</w:t>
      </w:r>
      <w:r w:rsidR="00210E6D" w:rsidRPr="00DF2079">
        <w:rPr>
          <w:rFonts w:ascii="Times New Roman" w:hAnsi="Times New Roman" w:cs="Times New Roman"/>
          <w:sz w:val="24"/>
          <w:szCs w:val="24"/>
        </w:rPr>
        <w:t>32,9</w:t>
      </w:r>
      <w:r w:rsidRPr="00DF2079">
        <w:rPr>
          <w:rFonts w:ascii="Times New Roman" w:hAnsi="Times New Roman" w:cs="Times New Roman"/>
          <w:sz w:val="24"/>
          <w:szCs w:val="24"/>
        </w:rPr>
        <w:t>%)</w:t>
      </w:r>
      <w:r w:rsidR="00210E6D" w:rsidRPr="00DF2079">
        <w:rPr>
          <w:rFonts w:ascii="Times New Roman" w:hAnsi="Times New Roman" w:cs="Times New Roman"/>
          <w:sz w:val="24"/>
          <w:szCs w:val="24"/>
        </w:rPr>
        <w:t xml:space="preserve"> και στις επιχειρήσεις χωρίς προσωπικό (</w:t>
      </w:r>
      <w:r w:rsidR="00DF2079" w:rsidRPr="00DF2079">
        <w:rPr>
          <w:rFonts w:ascii="Times New Roman" w:hAnsi="Times New Roman" w:cs="Times New Roman"/>
          <w:sz w:val="24"/>
          <w:szCs w:val="24"/>
        </w:rPr>
        <w:t>30%)</w:t>
      </w:r>
      <w:r w:rsidRPr="00DF2079">
        <w:rPr>
          <w:rFonts w:ascii="Times New Roman" w:hAnsi="Times New Roman" w:cs="Times New Roman"/>
          <w:sz w:val="24"/>
          <w:szCs w:val="24"/>
        </w:rPr>
        <w:t>.</w:t>
      </w:r>
    </w:p>
    <w:p w14:paraId="27FA75FF" w14:textId="5F509303" w:rsidR="008A710D" w:rsidRDefault="008A710D" w:rsidP="00A417BC">
      <w:pPr>
        <w:spacing w:after="0" w:line="360" w:lineRule="auto"/>
        <w:jc w:val="both"/>
        <w:rPr>
          <w:rFonts w:ascii="Times New Roman" w:hAnsi="Times New Roman" w:cs="Times New Roman"/>
          <w:sz w:val="24"/>
          <w:szCs w:val="24"/>
        </w:rPr>
      </w:pPr>
      <w:r w:rsidRPr="00DF2079">
        <w:rPr>
          <w:rFonts w:ascii="Times New Roman" w:hAnsi="Times New Roman" w:cs="Times New Roman"/>
          <w:sz w:val="24"/>
          <w:szCs w:val="24"/>
        </w:rPr>
        <w:t>Επιπλέον</w:t>
      </w:r>
      <w:r w:rsidR="00547F34" w:rsidRPr="00DF2079">
        <w:rPr>
          <w:rFonts w:ascii="Times New Roman" w:hAnsi="Times New Roman" w:cs="Times New Roman"/>
          <w:sz w:val="24"/>
          <w:szCs w:val="24"/>
        </w:rPr>
        <w:t>,</w:t>
      </w:r>
      <w:r w:rsidRPr="00DF2079">
        <w:rPr>
          <w:rFonts w:ascii="Times New Roman" w:hAnsi="Times New Roman" w:cs="Times New Roman"/>
          <w:sz w:val="24"/>
          <w:szCs w:val="24"/>
        </w:rPr>
        <w:t xml:space="preserve"> όπως φαίνεται στον Πίνακα </w:t>
      </w:r>
      <w:r w:rsidR="003726B2" w:rsidRPr="00DF2079">
        <w:rPr>
          <w:rFonts w:ascii="Times New Roman" w:hAnsi="Times New Roman" w:cs="Times New Roman"/>
          <w:sz w:val="24"/>
          <w:szCs w:val="24"/>
        </w:rPr>
        <w:t>3</w:t>
      </w:r>
      <w:r w:rsidR="00547F34" w:rsidRPr="00DF2079">
        <w:rPr>
          <w:rFonts w:ascii="Times New Roman" w:hAnsi="Times New Roman" w:cs="Times New Roman"/>
          <w:sz w:val="24"/>
          <w:szCs w:val="24"/>
        </w:rPr>
        <w:t>,</w:t>
      </w:r>
      <w:r w:rsidRPr="00DF2079">
        <w:rPr>
          <w:rFonts w:ascii="Times New Roman" w:hAnsi="Times New Roman" w:cs="Times New Roman"/>
          <w:sz w:val="24"/>
          <w:szCs w:val="24"/>
        </w:rPr>
        <w:t xml:space="preserve"> με ζημιές</w:t>
      </w:r>
      <w:r w:rsidR="00DF2079" w:rsidRPr="00DF2079">
        <w:rPr>
          <w:rFonts w:ascii="Times New Roman" w:hAnsi="Times New Roman" w:cs="Times New Roman"/>
          <w:sz w:val="24"/>
          <w:szCs w:val="24"/>
        </w:rPr>
        <w:t xml:space="preserve"> ή μηδενικά κέρδη </w:t>
      </w:r>
      <w:r w:rsidRPr="00DF2079">
        <w:rPr>
          <w:rFonts w:ascii="Times New Roman" w:hAnsi="Times New Roman" w:cs="Times New Roman"/>
          <w:sz w:val="24"/>
          <w:szCs w:val="24"/>
        </w:rPr>
        <w:t xml:space="preserve">έκλεισε το 2020 για το </w:t>
      </w:r>
      <w:r w:rsidR="00DF2079" w:rsidRPr="00DF2079">
        <w:rPr>
          <w:rFonts w:ascii="Times New Roman" w:hAnsi="Times New Roman" w:cs="Times New Roman"/>
          <w:sz w:val="24"/>
          <w:szCs w:val="24"/>
        </w:rPr>
        <w:t>31,3</w:t>
      </w:r>
      <w:r w:rsidRPr="00DF2079">
        <w:rPr>
          <w:rFonts w:ascii="Times New Roman" w:hAnsi="Times New Roman" w:cs="Times New Roman"/>
          <w:sz w:val="24"/>
          <w:szCs w:val="24"/>
        </w:rPr>
        <w:t>% των επιχειρήσεων που ανέστειλαν την λειτουργία τους με κρατική εντολή</w:t>
      </w:r>
      <w:r w:rsidR="00FD445D" w:rsidRPr="00DF2079">
        <w:rPr>
          <w:rFonts w:ascii="Times New Roman" w:hAnsi="Times New Roman" w:cs="Times New Roman"/>
          <w:sz w:val="24"/>
          <w:szCs w:val="24"/>
        </w:rPr>
        <w:t xml:space="preserve">, και </w:t>
      </w:r>
      <w:r w:rsidR="003726B2" w:rsidRPr="00DF2079">
        <w:rPr>
          <w:rFonts w:ascii="Times New Roman" w:hAnsi="Times New Roman" w:cs="Times New Roman"/>
          <w:sz w:val="24"/>
          <w:szCs w:val="24"/>
        </w:rPr>
        <w:t xml:space="preserve">για </w:t>
      </w:r>
      <w:r w:rsidR="00FD445D" w:rsidRPr="00DF2079">
        <w:rPr>
          <w:rFonts w:ascii="Times New Roman" w:hAnsi="Times New Roman" w:cs="Times New Roman"/>
          <w:sz w:val="24"/>
          <w:szCs w:val="24"/>
        </w:rPr>
        <w:t xml:space="preserve">το </w:t>
      </w:r>
      <w:r w:rsidR="00DF2079" w:rsidRPr="00DF2079">
        <w:rPr>
          <w:rFonts w:ascii="Times New Roman" w:hAnsi="Times New Roman" w:cs="Times New Roman"/>
          <w:sz w:val="24"/>
          <w:szCs w:val="24"/>
        </w:rPr>
        <w:t>34</w:t>
      </w:r>
      <w:r w:rsidR="00FD445D" w:rsidRPr="00DF2079">
        <w:rPr>
          <w:rFonts w:ascii="Times New Roman" w:hAnsi="Times New Roman" w:cs="Times New Roman"/>
          <w:sz w:val="24"/>
          <w:szCs w:val="24"/>
        </w:rPr>
        <w:t>% των επιχειρήσεων εστίασης.</w:t>
      </w:r>
      <w:r w:rsidR="00FD445D" w:rsidRPr="00E36734">
        <w:rPr>
          <w:rFonts w:ascii="Times New Roman" w:hAnsi="Times New Roman" w:cs="Times New Roman"/>
          <w:sz w:val="24"/>
          <w:szCs w:val="24"/>
        </w:rPr>
        <w:t xml:space="preserve"> </w:t>
      </w:r>
    </w:p>
    <w:p w14:paraId="3124B4C1" w14:textId="12692D74" w:rsidR="00DF2079" w:rsidRPr="00E36734" w:rsidRDefault="00DF2079" w:rsidP="00A417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Τέλος, σημειώνεται πως στην συγκεκριμένη ερώτηση καταγράφηκε υψηλό ποσοστό 34% των επιχειρήσεων που δεν απάντησαν την ερώτηση. Με βάση παλαιότερα στοιχεία ερευνών του ΙΜΕ ΓΣΕΒΕΕ εκτιμάται ότι η συντριπτική πλειονότητα των ερωτηθέντων που δεν απάντησαν είναι πιθανότερο να έχουν καταγράψει ζημιές ή μηδενικά κέρδη το 2020.</w:t>
      </w:r>
    </w:p>
    <w:p w14:paraId="7DDC3CF9" w14:textId="300D4DF0" w:rsidR="008A710D" w:rsidRDefault="008A710D" w:rsidP="00A417BC">
      <w:pPr>
        <w:spacing w:after="0" w:line="360" w:lineRule="auto"/>
        <w:jc w:val="both"/>
        <w:rPr>
          <w:rFonts w:ascii="Times New Roman" w:hAnsi="Times New Roman" w:cs="Times New Roman"/>
          <w:sz w:val="24"/>
          <w:szCs w:val="24"/>
        </w:rPr>
      </w:pPr>
    </w:p>
    <w:p w14:paraId="0973ABC2" w14:textId="3590F477" w:rsidR="00045567" w:rsidRDefault="00045567" w:rsidP="00A417BC">
      <w:pPr>
        <w:spacing w:after="0" w:line="360" w:lineRule="auto"/>
        <w:jc w:val="both"/>
        <w:rPr>
          <w:rFonts w:ascii="Times New Roman" w:hAnsi="Times New Roman" w:cs="Times New Roman"/>
          <w:sz w:val="24"/>
          <w:szCs w:val="24"/>
        </w:rPr>
      </w:pPr>
    </w:p>
    <w:p w14:paraId="14FF3B8C" w14:textId="7C4B8B48" w:rsidR="00045567" w:rsidRDefault="00045567" w:rsidP="00A417BC">
      <w:pPr>
        <w:spacing w:after="0" w:line="360" w:lineRule="auto"/>
        <w:jc w:val="both"/>
        <w:rPr>
          <w:rFonts w:ascii="Times New Roman" w:hAnsi="Times New Roman" w:cs="Times New Roman"/>
          <w:sz w:val="24"/>
          <w:szCs w:val="24"/>
        </w:rPr>
      </w:pPr>
    </w:p>
    <w:p w14:paraId="792B3486" w14:textId="2593BBCB" w:rsidR="00045567" w:rsidRDefault="00045567" w:rsidP="00A417BC">
      <w:pPr>
        <w:spacing w:after="0" w:line="360" w:lineRule="auto"/>
        <w:jc w:val="both"/>
        <w:rPr>
          <w:rFonts w:ascii="Times New Roman" w:hAnsi="Times New Roman" w:cs="Times New Roman"/>
          <w:sz w:val="24"/>
          <w:szCs w:val="24"/>
        </w:rPr>
      </w:pPr>
    </w:p>
    <w:p w14:paraId="2F981052" w14:textId="77777777" w:rsidR="00045567" w:rsidRPr="00E36734" w:rsidRDefault="00045567" w:rsidP="00A417BC">
      <w:pPr>
        <w:spacing w:after="0"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93"/>
        <w:gridCol w:w="2130"/>
        <w:gridCol w:w="2127"/>
        <w:gridCol w:w="2127"/>
        <w:gridCol w:w="1988"/>
      </w:tblGrid>
      <w:tr w:rsidR="00FD445D" w:rsidRPr="00E36734" w14:paraId="45F9D0CC" w14:textId="79B5FF91" w:rsidTr="0029472A">
        <w:trPr>
          <w:trHeight w:val="528"/>
        </w:trPr>
        <w:tc>
          <w:tcPr>
            <w:tcW w:w="961" w:type="pct"/>
            <w:vMerge w:val="restart"/>
            <w:shd w:val="clear" w:color="auto" w:fill="FDEADA"/>
            <w:tcMar>
              <w:top w:w="12" w:type="dxa"/>
              <w:left w:w="12" w:type="dxa"/>
              <w:bottom w:w="0" w:type="dxa"/>
              <w:right w:w="12" w:type="dxa"/>
            </w:tcMar>
            <w:vAlign w:val="center"/>
            <w:hideMark/>
          </w:tcPr>
          <w:p w14:paraId="027F6504" w14:textId="6C52F516" w:rsidR="003726B2" w:rsidRPr="00E36734" w:rsidRDefault="003726B2" w:rsidP="00FD445D">
            <w:pPr>
              <w:spacing w:after="0" w:line="240" w:lineRule="auto"/>
              <w:jc w:val="center"/>
              <w:rPr>
                <w:rFonts w:eastAsia="Times New Roman" w:cstheme="minorHAnsi"/>
                <w:b/>
                <w:bCs/>
                <w:sz w:val="20"/>
                <w:szCs w:val="20"/>
              </w:rPr>
            </w:pPr>
            <w:bookmarkStart w:id="9" w:name="_Hlk79490233"/>
            <w:r w:rsidRPr="00E36734">
              <w:rPr>
                <w:rFonts w:eastAsia="Times New Roman" w:cstheme="minorHAnsi"/>
                <w:b/>
                <w:bCs/>
                <w:sz w:val="20"/>
                <w:szCs w:val="20"/>
              </w:rPr>
              <w:lastRenderedPageBreak/>
              <w:t>Πίνακας 3</w:t>
            </w:r>
          </w:p>
          <w:p w14:paraId="45913465" w14:textId="77777777" w:rsidR="003726B2" w:rsidRPr="00E36734" w:rsidRDefault="003726B2" w:rsidP="00FD445D">
            <w:pPr>
              <w:spacing w:after="0" w:line="240" w:lineRule="auto"/>
              <w:jc w:val="center"/>
              <w:rPr>
                <w:rFonts w:eastAsia="Times New Roman" w:cstheme="minorHAnsi"/>
                <w:b/>
                <w:bCs/>
                <w:sz w:val="20"/>
                <w:szCs w:val="20"/>
              </w:rPr>
            </w:pPr>
          </w:p>
          <w:p w14:paraId="6FB62E0B" w14:textId="77777777" w:rsidR="0029472A" w:rsidRPr="0029472A" w:rsidRDefault="0029472A" w:rsidP="0029472A">
            <w:pPr>
              <w:spacing w:after="0" w:line="240" w:lineRule="auto"/>
              <w:jc w:val="center"/>
              <w:rPr>
                <w:rFonts w:eastAsia="Times New Roman" w:cstheme="minorHAnsi"/>
                <w:sz w:val="18"/>
                <w:szCs w:val="18"/>
              </w:rPr>
            </w:pPr>
            <w:r w:rsidRPr="0029472A">
              <w:rPr>
                <w:rFonts w:eastAsia="Times New Roman" w:cstheme="minorHAnsi"/>
                <w:sz w:val="18"/>
                <w:szCs w:val="18"/>
              </w:rPr>
              <w:t xml:space="preserve">Πόσο είναι περίπου το ποσόν για το οποίο φορολογηθήκατε το 2020 </w:t>
            </w:r>
          </w:p>
          <w:p w14:paraId="1486E997" w14:textId="3B113E27" w:rsidR="00FD445D" w:rsidRPr="00C155D3" w:rsidRDefault="0029472A" w:rsidP="0029472A">
            <w:pPr>
              <w:spacing w:after="0" w:line="240" w:lineRule="auto"/>
              <w:jc w:val="center"/>
              <w:rPr>
                <w:rFonts w:eastAsia="Times New Roman" w:cstheme="minorHAnsi"/>
                <w:sz w:val="18"/>
                <w:szCs w:val="18"/>
              </w:rPr>
            </w:pPr>
            <w:r w:rsidRPr="0029472A">
              <w:rPr>
                <w:rFonts w:eastAsia="Times New Roman" w:cstheme="minorHAnsi"/>
                <w:sz w:val="18"/>
                <w:szCs w:val="18"/>
              </w:rPr>
              <w:t>(δηλ. το κέρδος σύμφωνα με τη δήλωση);</w:t>
            </w:r>
          </w:p>
        </w:tc>
        <w:tc>
          <w:tcPr>
            <w:tcW w:w="3079" w:type="pct"/>
            <w:gridSpan w:val="3"/>
            <w:shd w:val="clear" w:color="auto" w:fill="FDEADA"/>
            <w:tcMar>
              <w:top w:w="12" w:type="dxa"/>
              <w:left w:w="12" w:type="dxa"/>
              <w:bottom w:w="0" w:type="dxa"/>
              <w:right w:w="12" w:type="dxa"/>
            </w:tcMar>
            <w:vAlign w:val="center"/>
            <w:hideMark/>
          </w:tcPr>
          <w:p w14:paraId="16BC0433" w14:textId="77777777"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959" w:type="pct"/>
            <w:vMerge w:val="restart"/>
            <w:shd w:val="clear" w:color="auto" w:fill="FDEADA"/>
          </w:tcPr>
          <w:p w14:paraId="75D60920"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p w14:paraId="569F7984"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p w14:paraId="561D4868"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p w14:paraId="3FB73789" w14:textId="3F05A1CF"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Επιχειρήσεις </w:t>
            </w:r>
          </w:p>
          <w:p w14:paraId="561A53FD" w14:textId="72DA5603"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εστίασης</w:t>
            </w:r>
          </w:p>
        </w:tc>
      </w:tr>
      <w:tr w:rsidR="00FD445D" w:rsidRPr="00E36734" w14:paraId="1AAD47F2" w14:textId="4B14E38E" w:rsidTr="0029472A">
        <w:trPr>
          <w:trHeight w:val="1183"/>
        </w:trPr>
        <w:tc>
          <w:tcPr>
            <w:tcW w:w="961" w:type="pct"/>
            <w:vMerge/>
            <w:shd w:val="clear" w:color="auto" w:fill="FDEADA"/>
            <w:tcMar>
              <w:top w:w="12" w:type="dxa"/>
              <w:left w:w="12" w:type="dxa"/>
              <w:bottom w:w="0" w:type="dxa"/>
              <w:right w:w="12" w:type="dxa"/>
            </w:tcMar>
            <w:vAlign w:val="center"/>
            <w:hideMark/>
          </w:tcPr>
          <w:p w14:paraId="1BCC0BC3" w14:textId="77777777" w:rsidR="00FD445D" w:rsidRPr="00E36734" w:rsidRDefault="00FD445D" w:rsidP="00FD445D">
            <w:pPr>
              <w:spacing w:after="0" w:line="240" w:lineRule="auto"/>
              <w:rPr>
                <w:rFonts w:eastAsia="Times New Roman" w:cstheme="minorHAnsi"/>
                <w:sz w:val="18"/>
                <w:szCs w:val="18"/>
              </w:rPr>
            </w:pPr>
          </w:p>
        </w:tc>
        <w:tc>
          <w:tcPr>
            <w:tcW w:w="1027" w:type="pct"/>
            <w:shd w:val="clear" w:color="auto" w:fill="FDEADA"/>
            <w:tcMar>
              <w:top w:w="12" w:type="dxa"/>
              <w:left w:w="12" w:type="dxa"/>
              <w:bottom w:w="0" w:type="dxa"/>
              <w:right w:w="12" w:type="dxa"/>
            </w:tcMar>
            <w:vAlign w:val="center"/>
            <w:hideMark/>
          </w:tcPr>
          <w:p w14:paraId="618B80F2"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ανέστειλαν την </w:t>
            </w:r>
          </w:p>
          <w:p w14:paraId="5C538FE5"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δραστηριότητα τους </w:t>
            </w:r>
          </w:p>
          <w:p w14:paraId="7DEBEFA8" w14:textId="3FDEAB04"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με κρατική εντολή</w:t>
            </w:r>
          </w:p>
        </w:tc>
        <w:tc>
          <w:tcPr>
            <w:tcW w:w="1026" w:type="pct"/>
            <w:shd w:val="clear" w:color="auto" w:fill="FDEADA"/>
            <w:tcMar>
              <w:top w:w="12" w:type="dxa"/>
              <w:left w:w="12" w:type="dxa"/>
              <w:bottom w:w="0" w:type="dxa"/>
              <w:right w:w="12" w:type="dxa"/>
            </w:tcMar>
            <w:vAlign w:val="center"/>
            <w:hideMark/>
          </w:tcPr>
          <w:p w14:paraId="5A9B8C42"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ανήκαν στις </w:t>
            </w:r>
          </w:p>
          <w:p w14:paraId="432FFF1F"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πληττόμενες βάσει </w:t>
            </w:r>
          </w:p>
          <w:p w14:paraId="5F560C98" w14:textId="1C60A894"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ΚΑΔ επιχειρήσεις</w:t>
            </w:r>
          </w:p>
        </w:tc>
        <w:tc>
          <w:tcPr>
            <w:tcW w:w="1026" w:type="pct"/>
            <w:shd w:val="clear" w:color="auto" w:fill="FDEADA"/>
            <w:tcMar>
              <w:top w:w="12" w:type="dxa"/>
              <w:left w:w="12" w:type="dxa"/>
              <w:bottom w:w="0" w:type="dxa"/>
              <w:right w:w="12" w:type="dxa"/>
            </w:tcMar>
            <w:vAlign w:val="center"/>
            <w:hideMark/>
          </w:tcPr>
          <w:p w14:paraId="79383CA0" w14:textId="1FB01C7A" w:rsidR="00FD445D" w:rsidRPr="00E36734" w:rsidRDefault="00F90F82" w:rsidP="00FD445D">
            <w:pPr>
              <w:spacing w:after="0" w:line="240" w:lineRule="auto"/>
              <w:jc w:val="center"/>
              <w:textAlignment w:val="center"/>
              <w:rPr>
                <w:rFonts w:eastAsia="Microsoft JhengHei UI" w:cstheme="minorHAnsi"/>
                <w:color w:val="000000"/>
                <w:kern w:val="24"/>
                <w:sz w:val="18"/>
                <w:szCs w:val="18"/>
              </w:rPr>
            </w:pPr>
            <w:r>
              <w:rPr>
                <w:rFonts w:eastAsia="Microsoft JhengHei UI" w:cstheme="minorHAnsi"/>
                <w:color w:val="000000"/>
                <w:kern w:val="24"/>
                <w:sz w:val="18"/>
                <w:szCs w:val="18"/>
              </w:rPr>
              <w:t>δ</w:t>
            </w:r>
            <w:r w:rsidR="00FD445D" w:rsidRPr="00E36734">
              <w:rPr>
                <w:rFonts w:eastAsia="Microsoft JhengHei UI" w:cstheme="minorHAnsi"/>
                <w:color w:val="000000"/>
                <w:kern w:val="24"/>
                <w:sz w:val="18"/>
                <w:szCs w:val="18"/>
              </w:rPr>
              <w:t xml:space="preserve">εν ανήκαν σε καμία </w:t>
            </w:r>
          </w:p>
          <w:p w14:paraId="032E1A22" w14:textId="19AE9101"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από τις παρακείμενες κατηγορίες</w:t>
            </w:r>
          </w:p>
        </w:tc>
        <w:tc>
          <w:tcPr>
            <w:tcW w:w="959" w:type="pct"/>
            <w:vMerge/>
            <w:shd w:val="clear" w:color="auto" w:fill="FDEADA"/>
          </w:tcPr>
          <w:p w14:paraId="7B6AA5D5"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tc>
      </w:tr>
      <w:tr w:rsidR="00AC367B" w:rsidRPr="00E36734" w14:paraId="414A3A7C" w14:textId="128D51E6" w:rsidTr="0029472A">
        <w:trPr>
          <w:trHeight w:val="528"/>
        </w:trPr>
        <w:tc>
          <w:tcPr>
            <w:tcW w:w="961" w:type="pct"/>
            <w:shd w:val="clear" w:color="auto" w:fill="FFFFFF"/>
            <w:tcMar>
              <w:top w:w="12" w:type="dxa"/>
              <w:left w:w="12" w:type="dxa"/>
              <w:bottom w:w="0" w:type="dxa"/>
              <w:right w:w="12" w:type="dxa"/>
            </w:tcMar>
            <w:vAlign w:val="center"/>
            <w:hideMark/>
          </w:tcPr>
          <w:p w14:paraId="72F1ED14" w14:textId="5DF63A83" w:rsidR="00AC367B" w:rsidRPr="00C155D3" w:rsidRDefault="00AC367B" w:rsidP="0029472A">
            <w:pPr>
              <w:spacing w:before="240" w:line="240" w:lineRule="auto"/>
              <w:textAlignment w:val="bottom"/>
              <w:rPr>
                <w:rFonts w:eastAsia="Times New Roman" w:cstheme="minorHAnsi"/>
                <w:sz w:val="18"/>
                <w:szCs w:val="18"/>
                <w:lang w:val="en-US"/>
              </w:rPr>
            </w:pPr>
            <w:r w:rsidRPr="00E36734">
              <w:rPr>
                <w:rFonts w:eastAsia="Microsoft JhengHei UI" w:cstheme="minorHAnsi"/>
                <w:color w:val="000000"/>
                <w:kern w:val="24"/>
                <w:sz w:val="18"/>
                <w:szCs w:val="18"/>
              </w:rPr>
              <w:t>Ζημιές</w:t>
            </w:r>
            <w:r>
              <w:rPr>
                <w:rFonts w:eastAsia="Microsoft JhengHei UI" w:cstheme="minorHAnsi"/>
                <w:color w:val="000000"/>
                <w:kern w:val="24"/>
                <w:sz w:val="18"/>
                <w:szCs w:val="18"/>
              </w:rPr>
              <w:t xml:space="preserve"> </w:t>
            </w:r>
          </w:p>
        </w:tc>
        <w:tc>
          <w:tcPr>
            <w:tcW w:w="1027" w:type="pct"/>
            <w:shd w:val="clear" w:color="auto" w:fill="FFFFFF"/>
            <w:tcMar>
              <w:top w:w="12" w:type="dxa"/>
              <w:left w:w="12" w:type="dxa"/>
              <w:bottom w:w="0" w:type="dxa"/>
              <w:right w:w="12" w:type="dxa"/>
            </w:tcMar>
            <w:hideMark/>
          </w:tcPr>
          <w:p w14:paraId="462118B1" w14:textId="3F3AE500"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22,8</w:t>
            </w:r>
          </w:p>
        </w:tc>
        <w:tc>
          <w:tcPr>
            <w:tcW w:w="1026" w:type="pct"/>
            <w:shd w:val="clear" w:color="auto" w:fill="FFFFFF"/>
            <w:tcMar>
              <w:top w:w="12" w:type="dxa"/>
              <w:left w:w="12" w:type="dxa"/>
              <w:bottom w:w="0" w:type="dxa"/>
              <w:right w:w="12" w:type="dxa"/>
            </w:tcMar>
            <w:hideMark/>
          </w:tcPr>
          <w:p w14:paraId="7EBD2506" w14:textId="5242CCF1"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17,1</w:t>
            </w:r>
          </w:p>
        </w:tc>
        <w:tc>
          <w:tcPr>
            <w:tcW w:w="1026" w:type="pct"/>
            <w:shd w:val="clear" w:color="auto" w:fill="FFFFFF"/>
            <w:tcMar>
              <w:top w:w="12" w:type="dxa"/>
              <w:left w:w="12" w:type="dxa"/>
              <w:bottom w:w="0" w:type="dxa"/>
              <w:right w:w="12" w:type="dxa"/>
            </w:tcMar>
            <w:hideMark/>
          </w:tcPr>
          <w:p w14:paraId="39425882" w14:textId="5B5B97F9"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8,6</w:t>
            </w:r>
          </w:p>
        </w:tc>
        <w:tc>
          <w:tcPr>
            <w:tcW w:w="959" w:type="pct"/>
            <w:shd w:val="clear" w:color="auto" w:fill="FFFFFF"/>
          </w:tcPr>
          <w:p w14:paraId="528B9BA0" w14:textId="3C1CDBFE"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25,8</w:t>
            </w:r>
          </w:p>
        </w:tc>
      </w:tr>
      <w:tr w:rsidR="00AC367B" w:rsidRPr="00E36734" w14:paraId="6F3AF8F1" w14:textId="50DE365F" w:rsidTr="0029472A">
        <w:trPr>
          <w:trHeight w:val="528"/>
        </w:trPr>
        <w:tc>
          <w:tcPr>
            <w:tcW w:w="961" w:type="pct"/>
            <w:shd w:val="clear" w:color="auto" w:fill="FFFFFF"/>
            <w:tcMar>
              <w:top w:w="12" w:type="dxa"/>
              <w:left w:w="12" w:type="dxa"/>
              <w:bottom w:w="0" w:type="dxa"/>
              <w:right w:w="12" w:type="dxa"/>
            </w:tcMar>
            <w:vAlign w:val="center"/>
            <w:hideMark/>
          </w:tcPr>
          <w:p w14:paraId="57B276EB" w14:textId="4B8C669F" w:rsidR="00AC367B" w:rsidRPr="00C155D3" w:rsidRDefault="00AC367B" w:rsidP="0029472A">
            <w:pPr>
              <w:spacing w:before="240" w:line="240" w:lineRule="auto"/>
              <w:textAlignment w:val="bottom"/>
              <w:rPr>
                <w:rFonts w:eastAsia="Times New Roman" w:cstheme="minorHAnsi"/>
                <w:sz w:val="18"/>
                <w:szCs w:val="18"/>
                <w:lang w:val="en-US"/>
              </w:rPr>
            </w:pPr>
            <w:r w:rsidRPr="00E36734">
              <w:rPr>
                <w:rFonts w:eastAsia="Microsoft JhengHei UI" w:cstheme="minorHAnsi"/>
                <w:color w:val="000000"/>
                <w:kern w:val="24"/>
                <w:sz w:val="18"/>
                <w:szCs w:val="18"/>
              </w:rPr>
              <w:t xml:space="preserve">Μηδενικό </w:t>
            </w:r>
          </w:p>
        </w:tc>
        <w:tc>
          <w:tcPr>
            <w:tcW w:w="1027" w:type="pct"/>
            <w:shd w:val="clear" w:color="auto" w:fill="FFFFFF"/>
            <w:tcMar>
              <w:top w:w="12" w:type="dxa"/>
              <w:left w:w="12" w:type="dxa"/>
              <w:bottom w:w="0" w:type="dxa"/>
              <w:right w:w="12" w:type="dxa"/>
            </w:tcMar>
            <w:hideMark/>
          </w:tcPr>
          <w:p w14:paraId="74890756" w14:textId="739587E3"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8,5</w:t>
            </w:r>
          </w:p>
        </w:tc>
        <w:tc>
          <w:tcPr>
            <w:tcW w:w="1026" w:type="pct"/>
            <w:shd w:val="clear" w:color="auto" w:fill="FFFFFF"/>
            <w:tcMar>
              <w:top w:w="12" w:type="dxa"/>
              <w:left w:w="12" w:type="dxa"/>
              <w:bottom w:w="0" w:type="dxa"/>
              <w:right w:w="12" w:type="dxa"/>
            </w:tcMar>
            <w:hideMark/>
          </w:tcPr>
          <w:p w14:paraId="47EB52A5" w14:textId="526C55BC"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4,7</w:t>
            </w:r>
          </w:p>
        </w:tc>
        <w:tc>
          <w:tcPr>
            <w:tcW w:w="1026" w:type="pct"/>
            <w:shd w:val="clear" w:color="auto" w:fill="FFFFFF"/>
            <w:tcMar>
              <w:top w:w="12" w:type="dxa"/>
              <w:left w:w="12" w:type="dxa"/>
              <w:bottom w:w="0" w:type="dxa"/>
              <w:right w:w="12" w:type="dxa"/>
            </w:tcMar>
            <w:hideMark/>
          </w:tcPr>
          <w:p w14:paraId="29CE6D11" w14:textId="2D061761"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8,2</w:t>
            </w:r>
          </w:p>
        </w:tc>
        <w:tc>
          <w:tcPr>
            <w:tcW w:w="959" w:type="pct"/>
            <w:shd w:val="clear" w:color="auto" w:fill="FFFFFF"/>
          </w:tcPr>
          <w:p w14:paraId="77D8ADE7" w14:textId="6F3BCF5F"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8,2</w:t>
            </w:r>
          </w:p>
        </w:tc>
      </w:tr>
      <w:tr w:rsidR="00AC367B" w:rsidRPr="00E36734" w14:paraId="1DEA2091" w14:textId="4E947D7D" w:rsidTr="0029472A">
        <w:trPr>
          <w:trHeight w:val="528"/>
        </w:trPr>
        <w:tc>
          <w:tcPr>
            <w:tcW w:w="961" w:type="pct"/>
            <w:shd w:val="clear" w:color="auto" w:fill="FFFFFF"/>
            <w:tcMar>
              <w:top w:w="12" w:type="dxa"/>
              <w:left w:w="12" w:type="dxa"/>
              <w:bottom w:w="0" w:type="dxa"/>
              <w:right w:w="12" w:type="dxa"/>
            </w:tcMar>
            <w:vAlign w:val="center"/>
            <w:hideMark/>
          </w:tcPr>
          <w:p w14:paraId="446D389A" w14:textId="05BE0384" w:rsidR="00AC367B" w:rsidRPr="00C155D3" w:rsidRDefault="00AC367B" w:rsidP="0029472A">
            <w:pPr>
              <w:spacing w:before="240" w:line="240" w:lineRule="auto"/>
              <w:textAlignment w:val="bottom"/>
              <w:rPr>
                <w:rFonts w:eastAsia="Times New Roman" w:cstheme="minorHAnsi"/>
                <w:sz w:val="18"/>
                <w:szCs w:val="18"/>
                <w:lang w:val="en-US"/>
              </w:rPr>
            </w:pPr>
            <w:bookmarkStart w:id="10" w:name="_Hlk79485108"/>
            <w:r>
              <w:rPr>
                <w:rFonts w:eastAsia="Microsoft JhengHei UI" w:cstheme="minorHAnsi"/>
                <w:color w:val="000000"/>
                <w:kern w:val="24"/>
                <w:sz w:val="18"/>
                <w:szCs w:val="18"/>
              </w:rPr>
              <w:t>Κ</w:t>
            </w:r>
            <w:r w:rsidRPr="00E36734">
              <w:rPr>
                <w:rFonts w:eastAsia="Microsoft JhengHei UI" w:cstheme="minorHAnsi"/>
                <w:color w:val="000000"/>
                <w:kern w:val="24"/>
                <w:sz w:val="18"/>
                <w:szCs w:val="18"/>
              </w:rPr>
              <w:t>έρδη</w:t>
            </w:r>
            <w:r>
              <w:rPr>
                <w:rFonts w:eastAsia="Microsoft JhengHei UI" w:cstheme="minorHAnsi"/>
                <w:color w:val="000000"/>
                <w:kern w:val="24"/>
                <w:sz w:val="18"/>
                <w:szCs w:val="18"/>
              </w:rPr>
              <w:t xml:space="preserve"> κάτω από 5.000€</w:t>
            </w:r>
          </w:p>
        </w:tc>
        <w:tc>
          <w:tcPr>
            <w:tcW w:w="1027" w:type="pct"/>
            <w:shd w:val="clear" w:color="auto" w:fill="FFFFFF"/>
            <w:tcMar>
              <w:top w:w="12" w:type="dxa"/>
              <w:left w:w="12" w:type="dxa"/>
              <w:bottom w:w="0" w:type="dxa"/>
              <w:right w:w="12" w:type="dxa"/>
            </w:tcMar>
            <w:hideMark/>
          </w:tcPr>
          <w:p w14:paraId="2D2139F2" w14:textId="0480CD93"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12,1</w:t>
            </w:r>
          </w:p>
        </w:tc>
        <w:tc>
          <w:tcPr>
            <w:tcW w:w="1026" w:type="pct"/>
            <w:shd w:val="clear" w:color="auto" w:fill="FFFFFF"/>
            <w:tcMar>
              <w:top w:w="12" w:type="dxa"/>
              <w:left w:w="12" w:type="dxa"/>
              <w:bottom w:w="0" w:type="dxa"/>
              <w:right w:w="12" w:type="dxa"/>
            </w:tcMar>
            <w:hideMark/>
          </w:tcPr>
          <w:p w14:paraId="6EB8D61F" w14:textId="30A8BE82"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16,8</w:t>
            </w:r>
          </w:p>
        </w:tc>
        <w:tc>
          <w:tcPr>
            <w:tcW w:w="1026" w:type="pct"/>
            <w:shd w:val="clear" w:color="auto" w:fill="FFFFFF"/>
            <w:tcMar>
              <w:top w:w="12" w:type="dxa"/>
              <w:left w:w="12" w:type="dxa"/>
              <w:bottom w:w="0" w:type="dxa"/>
              <w:right w:w="12" w:type="dxa"/>
            </w:tcMar>
            <w:hideMark/>
          </w:tcPr>
          <w:p w14:paraId="43FB61F7" w14:textId="4B71E0E5" w:rsidR="00AC367B" w:rsidRPr="0029472A" w:rsidRDefault="00AC367B" w:rsidP="0029472A">
            <w:pPr>
              <w:spacing w:before="240" w:line="240" w:lineRule="auto"/>
              <w:jc w:val="center"/>
              <w:textAlignment w:val="center"/>
              <w:rPr>
                <w:rFonts w:eastAsia="Times New Roman" w:cstheme="minorHAnsi"/>
                <w:sz w:val="20"/>
                <w:szCs w:val="20"/>
                <w:lang w:val="en-US"/>
              </w:rPr>
            </w:pPr>
            <w:r w:rsidRPr="0029472A">
              <w:rPr>
                <w:sz w:val="20"/>
                <w:szCs w:val="20"/>
              </w:rPr>
              <w:t>13,7</w:t>
            </w:r>
          </w:p>
        </w:tc>
        <w:tc>
          <w:tcPr>
            <w:tcW w:w="959" w:type="pct"/>
            <w:shd w:val="clear" w:color="auto" w:fill="FFFFFF"/>
          </w:tcPr>
          <w:p w14:paraId="319F06F1" w14:textId="6A6217D2"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8,2</w:t>
            </w:r>
          </w:p>
        </w:tc>
      </w:tr>
      <w:tr w:rsidR="00AC367B" w:rsidRPr="00E36734" w14:paraId="431FC748" w14:textId="77777777" w:rsidTr="0029472A">
        <w:trPr>
          <w:trHeight w:val="528"/>
        </w:trPr>
        <w:tc>
          <w:tcPr>
            <w:tcW w:w="961" w:type="pct"/>
            <w:shd w:val="clear" w:color="auto" w:fill="FFFFFF"/>
            <w:tcMar>
              <w:top w:w="12" w:type="dxa"/>
              <w:left w:w="12" w:type="dxa"/>
              <w:bottom w:w="0" w:type="dxa"/>
              <w:right w:w="12" w:type="dxa"/>
            </w:tcMar>
            <w:vAlign w:val="center"/>
          </w:tcPr>
          <w:p w14:paraId="315447F9" w14:textId="70D9E06B" w:rsidR="00AC367B" w:rsidRPr="00C155D3" w:rsidRDefault="00AC367B" w:rsidP="0029472A">
            <w:pPr>
              <w:spacing w:before="240" w:line="240" w:lineRule="auto"/>
              <w:textAlignment w:val="bottom"/>
              <w:rPr>
                <w:rFonts w:eastAsia="Microsoft JhengHei UI" w:cstheme="minorHAnsi"/>
                <w:color w:val="000000"/>
                <w:kern w:val="24"/>
                <w:sz w:val="18"/>
                <w:szCs w:val="18"/>
              </w:rPr>
            </w:pPr>
            <w:r>
              <w:rPr>
                <w:rFonts w:eastAsia="Microsoft JhengHei UI" w:cstheme="minorHAnsi"/>
                <w:color w:val="000000"/>
                <w:kern w:val="24"/>
                <w:sz w:val="18"/>
                <w:szCs w:val="18"/>
              </w:rPr>
              <w:t>Κ</w:t>
            </w:r>
            <w:r w:rsidRPr="00E36734">
              <w:rPr>
                <w:rFonts w:eastAsia="Microsoft JhengHei UI" w:cstheme="minorHAnsi"/>
                <w:color w:val="000000"/>
                <w:kern w:val="24"/>
                <w:sz w:val="18"/>
                <w:szCs w:val="18"/>
              </w:rPr>
              <w:t>έρδη</w:t>
            </w:r>
            <w:r>
              <w:rPr>
                <w:rFonts w:eastAsia="Microsoft JhengHei UI" w:cstheme="minorHAnsi"/>
                <w:color w:val="000000"/>
                <w:kern w:val="24"/>
                <w:sz w:val="18"/>
                <w:szCs w:val="18"/>
              </w:rPr>
              <w:t xml:space="preserve"> 5.000€ - 10.000€</w:t>
            </w:r>
          </w:p>
        </w:tc>
        <w:tc>
          <w:tcPr>
            <w:tcW w:w="1027" w:type="pct"/>
            <w:shd w:val="clear" w:color="auto" w:fill="FFFFFF"/>
            <w:tcMar>
              <w:top w:w="12" w:type="dxa"/>
              <w:left w:w="12" w:type="dxa"/>
              <w:bottom w:w="0" w:type="dxa"/>
              <w:right w:w="12" w:type="dxa"/>
            </w:tcMar>
          </w:tcPr>
          <w:p w14:paraId="0959E21E" w14:textId="6847BB80"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6,7</w:t>
            </w:r>
          </w:p>
        </w:tc>
        <w:tc>
          <w:tcPr>
            <w:tcW w:w="1026" w:type="pct"/>
            <w:shd w:val="clear" w:color="auto" w:fill="FFFFFF"/>
            <w:tcMar>
              <w:top w:w="12" w:type="dxa"/>
              <w:left w:w="12" w:type="dxa"/>
              <w:bottom w:w="0" w:type="dxa"/>
              <w:right w:w="12" w:type="dxa"/>
            </w:tcMar>
          </w:tcPr>
          <w:p w14:paraId="58445763" w14:textId="16441D1E"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11,7</w:t>
            </w:r>
          </w:p>
        </w:tc>
        <w:tc>
          <w:tcPr>
            <w:tcW w:w="1026" w:type="pct"/>
            <w:shd w:val="clear" w:color="auto" w:fill="FFFFFF"/>
            <w:tcMar>
              <w:top w:w="12" w:type="dxa"/>
              <w:left w:w="12" w:type="dxa"/>
              <w:bottom w:w="0" w:type="dxa"/>
              <w:right w:w="12" w:type="dxa"/>
            </w:tcMar>
          </w:tcPr>
          <w:p w14:paraId="50D95D89" w14:textId="689581EC"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13,7</w:t>
            </w:r>
          </w:p>
        </w:tc>
        <w:tc>
          <w:tcPr>
            <w:tcW w:w="959" w:type="pct"/>
            <w:shd w:val="clear" w:color="auto" w:fill="FFFFFF"/>
          </w:tcPr>
          <w:p w14:paraId="3DE6322D" w14:textId="29F4B58D"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7,2</w:t>
            </w:r>
          </w:p>
        </w:tc>
      </w:tr>
      <w:tr w:rsidR="00AC367B" w:rsidRPr="00E36734" w14:paraId="78D37113" w14:textId="77777777" w:rsidTr="0029472A">
        <w:trPr>
          <w:trHeight w:val="528"/>
        </w:trPr>
        <w:tc>
          <w:tcPr>
            <w:tcW w:w="961" w:type="pct"/>
            <w:shd w:val="clear" w:color="auto" w:fill="FFFFFF"/>
            <w:tcMar>
              <w:top w:w="12" w:type="dxa"/>
              <w:left w:w="12" w:type="dxa"/>
              <w:bottom w:w="0" w:type="dxa"/>
              <w:right w:w="12" w:type="dxa"/>
            </w:tcMar>
            <w:vAlign w:val="center"/>
          </w:tcPr>
          <w:p w14:paraId="3C396EDD" w14:textId="17101F0D" w:rsidR="00AC367B" w:rsidRPr="00C155D3" w:rsidRDefault="00AC367B" w:rsidP="0029472A">
            <w:pPr>
              <w:spacing w:before="240" w:line="240" w:lineRule="auto"/>
              <w:textAlignment w:val="bottom"/>
              <w:rPr>
                <w:rFonts w:eastAsia="Microsoft JhengHei UI" w:cstheme="minorHAnsi"/>
                <w:color w:val="000000"/>
                <w:kern w:val="24"/>
                <w:sz w:val="18"/>
                <w:szCs w:val="18"/>
              </w:rPr>
            </w:pPr>
            <w:r>
              <w:rPr>
                <w:rFonts w:eastAsia="Microsoft JhengHei UI" w:cstheme="minorHAnsi"/>
                <w:color w:val="000000"/>
                <w:kern w:val="24"/>
                <w:sz w:val="18"/>
                <w:szCs w:val="18"/>
              </w:rPr>
              <w:t>Κ</w:t>
            </w:r>
            <w:r w:rsidRPr="00E36734">
              <w:rPr>
                <w:rFonts w:eastAsia="Microsoft JhengHei UI" w:cstheme="minorHAnsi"/>
                <w:color w:val="000000"/>
                <w:kern w:val="24"/>
                <w:sz w:val="18"/>
                <w:szCs w:val="18"/>
              </w:rPr>
              <w:t>έρδη</w:t>
            </w:r>
            <w:r>
              <w:rPr>
                <w:rFonts w:eastAsia="Microsoft JhengHei UI" w:cstheme="minorHAnsi"/>
                <w:color w:val="000000"/>
                <w:kern w:val="24"/>
                <w:sz w:val="18"/>
                <w:szCs w:val="18"/>
              </w:rPr>
              <w:t xml:space="preserve"> 10.000€ - 20.000€</w:t>
            </w:r>
          </w:p>
        </w:tc>
        <w:tc>
          <w:tcPr>
            <w:tcW w:w="1027" w:type="pct"/>
            <w:shd w:val="clear" w:color="auto" w:fill="FFFFFF"/>
            <w:tcMar>
              <w:top w:w="12" w:type="dxa"/>
              <w:left w:w="12" w:type="dxa"/>
              <w:bottom w:w="0" w:type="dxa"/>
              <w:right w:w="12" w:type="dxa"/>
            </w:tcMar>
          </w:tcPr>
          <w:p w14:paraId="025EF672" w14:textId="4AA616D2"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5,4</w:t>
            </w:r>
          </w:p>
        </w:tc>
        <w:tc>
          <w:tcPr>
            <w:tcW w:w="1026" w:type="pct"/>
            <w:shd w:val="clear" w:color="auto" w:fill="FFFFFF"/>
            <w:tcMar>
              <w:top w:w="12" w:type="dxa"/>
              <w:left w:w="12" w:type="dxa"/>
              <w:bottom w:w="0" w:type="dxa"/>
              <w:right w:w="12" w:type="dxa"/>
            </w:tcMar>
          </w:tcPr>
          <w:p w14:paraId="102124F2" w14:textId="60C65931"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5,4</w:t>
            </w:r>
          </w:p>
        </w:tc>
        <w:tc>
          <w:tcPr>
            <w:tcW w:w="1026" w:type="pct"/>
            <w:shd w:val="clear" w:color="auto" w:fill="FFFFFF"/>
            <w:tcMar>
              <w:top w:w="12" w:type="dxa"/>
              <w:left w:w="12" w:type="dxa"/>
              <w:bottom w:w="0" w:type="dxa"/>
              <w:right w:w="12" w:type="dxa"/>
            </w:tcMar>
          </w:tcPr>
          <w:p w14:paraId="62930DDD" w14:textId="3458A403"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8,6</w:t>
            </w:r>
          </w:p>
        </w:tc>
        <w:tc>
          <w:tcPr>
            <w:tcW w:w="959" w:type="pct"/>
            <w:shd w:val="clear" w:color="auto" w:fill="FFFFFF"/>
          </w:tcPr>
          <w:p w14:paraId="3E87BFBC" w14:textId="2BE598C6"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4,1</w:t>
            </w:r>
          </w:p>
        </w:tc>
      </w:tr>
      <w:tr w:rsidR="00AC367B" w:rsidRPr="00E36734" w14:paraId="70589A09" w14:textId="77777777" w:rsidTr="0029472A">
        <w:trPr>
          <w:trHeight w:val="528"/>
        </w:trPr>
        <w:tc>
          <w:tcPr>
            <w:tcW w:w="961" w:type="pct"/>
            <w:shd w:val="clear" w:color="auto" w:fill="FFFFFF"/>
            <w:tcMar>
              <w:top w:w="12" w:type="dxa"/>
              <w:left w:w="12" w:type="dxa"/>
              <w:bottom w:w="0" w:type="dxa"/>
              <w:right w:w="12" w:type="dxa"/>
            </w:tcMar>
            <w:vAlign w:val="center"/>
          </w:tcPr>
          <w:p w14:paraId="37AB4D09" w14:textId="13FAE513" w:rsidR="00AC367B" w:rsidRPr="00C155D3" w:rsidRDefault="00AC367B" w:rsidP="0029472A">
            <w:pPr>
              <w:spacing w:before="240" w:line="240" w:lineRule="auto"/>
              <w:textAlignment w:val="bottom"/>
              <w:rPr>
                <w:rFonts w:eastAsia="Microsoft JhengHei UI" w:cstheme="minorHAnsi"/>
                <w:color w:val="000000"/>
                <w:kern w:val="24"/>
                <w:sz w:val="18"/>
                <w:szCs w:val="18"/>
              </w:rPr>
            </w:pPr>
            <w:r>
              <w:rPr>
                <w:rFonts w:eastAsia="Microsoft JhengHei UI" w:cstheme="minorHAnsi"/>
                <w:color w:val="000000"/>
                <w:kern w:val="24"/>
                <w:sz w:val="18"/>
                <w:szCs w:val="18"/>
              </w:rPr>
              <w:t>Κ</w:t>
            </w:r>
            <w:r w:rsidRPr="00E36734">
              <w:rPr>
                <w:rFonts w:eastAsia="Microsoft JhengHei UI" w:cstheme="minorHAnsi"/>
                <w:color w:val="000000"/>
                <w:kern w:val="24"/>
                <w:sz w:val="18"/>
                <w:szCs w:val="18"/>
              </w:rPr>
              <w:t>έρδη</w:t>
            </w:r>
            <w:r>
              <w:rPr>
                <w:rFonts w:eastAsia="Microsoft JhengHei UI" w:cstheme="minorHAnsi"/>
                <w:color w:val="000000"/>
                <w:kern w:val="24"/>
                <w:sz w:val="18"/>
                <w:szCs w:val="18"/>
              </w:rPr>
              <w:t xml:space="preserve"> 20.000€ - 30.000€</w:t>
            </w:r>
          </w:p>
        </w:tc>
        <w:tc>
          <w:tcPr>
            <w:tcW w:w="1027" w:type="pct"/>
            <w:shd w:val="clear" w:color="auto" w:fill="FFFFFF"/>
            <w:tcMar>
              <w:top w:w="12" w:type="dxa"/>
              <w:left w:w="12" w:type="dxa"/>
              <w:bottom w:w="0" w:type="dxa"/>
              <w:right w:w="12" w:type="dxa"/>
            </w:tcMar>
          </w:tcPr>
          <w:p w14:paraId="41B73420" w14:textId="4798E08E"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3,6</w:t>
            </w:r>
          </w:p>
        </w:tc>
        <w:tc>
          <w:tcPr>
            <w:tcW w:w="1026" w:type="pct"/>
            <w:shd w:val="clear" w:color="auto" w:fill="FFFFFF"/>
            <w:tcMar>
              <w:top w:w="12" w:type="dxa"/>
              <w:left w:w="12" w:type="dxa"/>
              <w:bottom w:w="0" w:type="dxa"/>
              <w:right w:w="12" w:type="dxa"/>
            </w:tcMar>
          </w:tcPr>
          <w:p w14:paraId="2C579202" w14:textId="4EEB7CC7"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4,7</w:t>
            </w:r>
          </w:p>
        </w:tc>
        <w:tc>
          <w:tcPr>
            <w:tcW w:w="1026" w:type="pct"/>
            <w:shd w:val="clear" w:color="auto" w:fill="FFFFFF"/>
            <w:tcMar>
              <w:top w:w="12" w:type="dxa"/>
              <w:left w:w="12" w:type="dxa"/>
              <w:bottom w:w="0" w:type="dxa"/>
              <w:right w:w="12" w:type="dxa"/>
            </w:tcMar>
          </w:tcPr>
          <w:p w14:paraId="36891D29" w14:textId="3B1ECC4A"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4,3</w:t>
            </w:r>
          </w:p>
        </w:tc>
        <w:tc>
          <w:tcPr>
            <w:tcW w:w="959" w:type="pct"/>
            <w:shd w:val="clear" w:color="auto" w:fill="FFFFFF"/>
          </w:tcPr>
          <w:p w14:paraId="45307DD8" w14:textId="2222A066"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4,1</w:t>
            </w:r>
          </w:p>
        </w:tc>
      </w:tr>
      <w:tr w:rsidR="00AC367B" w:rsidRPr="00E36734" w14:paraId="0333516F" w14:textId="77777777" w:rsidTr="0029472A">
        <w:trPr>
          <w:trHeight w:val="528"/>
        </w:trPr>
        <w:tc>
          <w:tcPr>
            <w:tcW w:w="961" w:type="pct"/>
            <w:shd w:val="clear" w:color="auto" w:fill="FFFFFF"/>
            <w:tcMar>
              <w:top w:w="12" w:type="dxa"/>
              <w:left w:w="12" w:type="dxa"/>
              <w:bottom w:w="0" w:type="dxa"/>
              <w:right w:w="12" w:type="dxa"/>
            </w:tcMar>
            <w:vAlign w:val="center"/>
          </w:tcPr>
          <w:p w14:paraId="40001ECE" w14:textId="2F261388" w:rsidR="00AC367B" w:rsidRPr="00C155D3" w:rsidRDefault="00AC367B" w:rsidP="0029472A">
            <w:pPr>
              <w:spacing w:before="240" w:line="240" w:lineRule="auto"/>
              <w:textAlignment w:val="bottom"/>
              <w:rPr>
                <w:rFonts w:eastAsia="Microsoft JhengHei UI" w:cstheme="minorHAnsi"/>
                <w:color w:val="000000"/>
                <w:kern w:val="24"/>
                <w:sz w:val="18"/>
                <w:szCs w:val="18"/>
              </w:rPr>
            </w:pPr>
            <w:r>
              <w:rPr>
                <w:rFonts w:eastAsia="Microsoft JhengHei UI" w:cstheme="minorHAnsi"/>
                <w:color w:val="000000"/>
                <w:kern w:val="24"/>
                <w:sz w:val="18"/>
                <w:szCs w:val="18"/>
              </w:rPr>
              <w:t>Κέρδη άνω των 30.000€</w:t>
            </w:r>
          </w:p>
        </w:tc>
        <w:tc>
          <w:tcPr>
            <w:tcW w:w="1027" w:type="pct"/>
            <w:shd w:val="clear" w:color="auto" w:fill="FFFFFF"/>
            <w:tcMar>
              <w:top w:w="12" w:type="dxa"/>
              <w:left w:w="12" w:type="dxa"/>
              <w:bottom w:w="0" w:type="dxa"/>
              <w:right w:w="12" w:type="dxa"/>
            </w:tcMar>
          </w:tcPr>
          <w:p w14:paraId="5FAA9562" w14:textId="278FFF3D"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4,0</w:t>
            </w:r>
          </w:p>
        </w:tc>
        <w:tc>
          <w:tcPr>
            <w:tcW w:w="1026" w:type="pct"/>
            <w:shd w:val="clear" w:color="auto" w:fill="FFFFFF"/>
            <w:tcMar>
              <w:top w:w="12" w:type="dxa"/>
              <w:left w:w="12" w:type="dxa"/>
              <w:bottom w:w="0" w:type="dxa"/>
              <w:right w:w="12" w:type="dxa"/>
            </w:tcMar>
          </w:tcPr>
          <w:p w14:paraId="2E31CB8F" w14:textId="5A3F7E28"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7,3</w:t>
            </w:r>
          </w:p>
        </w:tc>
        <w:tc>
          <w:tcPr>
            <w:tcW w:w="1026" w:type="pct"/>
            <w:shd w:val="clear" w:color="auto" w:fill="FFFFFF"/>
            <w:tcMar>
              <w:top w:w="12" w:type="dxa"/>
              <w:left w:w="12" w:type="dxa"/>
              <w:bottom w:w="0" w:type="dxa"/>
              <w:right w:w="12" w:type="dxa"/>
            </w:tcMar>
          </w:tcPr>
          <w:p w14:paraId="475B098F" w14:textId="50D7AACF"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9,4</w:t>
            </w:r>
          </w:p>
        </w:tc>
        <w:tc>
          <w:tcPr>
            <w:tcW w:w="959" w:type="pct"/>
            <w:shd w:val="clear" w:color="auto" w:fill="FFFFFF"/>
          </w:tcPr>
          <w:p w14:paraId="0A8AA046" w14:textId="257032F0"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3,1</w:t>
            </w:r>
          </w:p>
        </w:tc>
      </w:tr>
      <w:tr w:rsidR="00AC367B" w:rsidRPr="00E36734" w14:paraId="57F3021A" w14:textId="77777777" w:rsidTr="0029472A">
        <w:trPr>
          <w:trHeight w:val="528"/>
        </w:trPr>
        <w:tc>
          <w:tcPr>
            <w:tcW w:w="961" w:type="pct"/>
            <w:shd w:val="clear" w:color="auto" w:fill="FFFFFF"/>
            <w:tcMar>
              <w:top w:w="12" w:type="dxa"/>
              <w:left w:w="12" w:type="dxa"/>
              <w:bottom w:w="0" w:type="dxa"/>
              <w:right w:w="12" w:type="dxa"/>
            </w:tcMar>
            <w:vAlign w:val="center"/>
          </w:tcPr>
          <w:p w14:paraId="36F7B84E" w14:textId="458DBCDA" w:rsidR="00AC367B" w:rsidRPr="00C155D3" w:rsidRDefault="00AC367B" w:rsidP="0029472A">
            <w:pPr>
              <w:spacing w:before="240" w:line="240" w:lineRule="auto"/>
              <w:textAlignment w:val="bottom"/>
              <w:rPr>
                <w:rFonts w:eastAsia="Microsoft JhengHei UI" w:cstheme="minorHAnsi"/>
                <w:color w:val="000000"/>
                <w:kern w:val="24"/>
                <w:sz w:val="18"/>
                <w:szCs w:val="18"/>
              </w:rPr>
            </w:pPr>
            <w:r w:rsidRPr="00E36734">
              <w:rPr>
                <w:rFonts w:eastAsia="Microsoft JhengHei UI" w:cstheme="minorHAnsi"/>
                <w:color w:val="000000"/>
                <w:kern w:val="24"/>
                <w:sz w:val="18"/>
                <w:szCs w:val="18"/>
              </w:rPr>
              <w:t>Δ.Γ/Δ.Α</w:t>
            </w:r>
          </w:p>
        </w:tc>
        <w:tc>
          <w:tcPr>
            <w:tcW w:w="1027" w:type="pct"/>
            <w:shd w:val="clear" w:color="auto" w:fill="FFFFFF"/>
            <w:tcMar>
              <w:top w:w="12" w:type="dxa"/>
              <w:left w:w="12" w:type="dxa"/>
              <w:bottom w:w="0" w:type="dxa"/>
              <w:right w:w="12" w:type="dxa"/>
            </w:tcMar>
          </w:tcPr>
          <w:p w14:paraId="58666013" w14:textId="7CC09EB6"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37,1</w:t>
            </w:r>
          </w:p>
        </w:tc>
        <w:tc>
          <w:tcPr>
            <w:tcW w:w="1026" w:type="pct"/>
            <w:shd w:val="clear" w:color="auto" w:fill="FFFFFF"/>
            <w:tcMar>
              <w:top w:w="12" w:type="dxa"/>
              <w:left w:w="12" w:type="dxa"/>
              <w:bottom w:w="0" w:type="dxa"/>
              <w:right w:w="12" w:type="dxa"/>
            </w:tcMar>
          </w:tcPr>
          <w:p w14:paraId="6A80ADA3" w14:textId="0495B251"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32,3</w:t>
            </w:r>
          </w:p>
        </w:tc>
        <w:tc>
          <w:tcPr>
            <w:tcW w:w="1026" w:type="pct"/>
            <w:shd w:val="clear" w:color="auto" w:fill="FFFFFF"/>
            <w:tcMar>
              <w:top w:w="12" w:type="dxa"/>
              <w:left w:w="12" w:type="dxa"/>
              <w:bottom w:w="0" w:type="dxa"/>
              <w:right w:w="12" w:type="dxa"/>
            </w:tcMar>
          </w:tcPr>
          <w:p w14:paraId="65924644" w14:textId="7DE68D30" w:rsidR="00AC367B" w:rsidRPr="0029472A" w:rsidRDefault="00AC367B" w:rsidP="0029472A">
            <w:pPr>
              <w:spacing w:before="240" w:line="240" w:lineRule="auto"/>
              <w:jc w:val="center"/>
              <w:textAlignment w:val="center"/>
              <w:rPr>
                <w:rFonts w:eastAsia="Microsoft JhengHei UI" w:cstheme="minorHAnsi"/>
                <w:color w:val="000000"/>
                <w:kern w:val="24"/>
                <w:sz w:val="20"/>
                <w:szCs w:val="20"/>
                <w:lang w:val="en-US"/>
              </w:rPr>
            </w:pPr>
            <w:r w:rsidRPr="0029472A">
              <w:rPr>
                <w:sz w:val="20"/>
                <w:szCs w:val="20"/>
              </w:rPr>
              <w:t>33,3</w:t>
            </w:r>
          </w:p>
        </w:tc>
        <w:tc>
          <w:tcPr>
            <w:tcW w:w="959" w:type="pct"/>
            <w:shd w:val="clear" w:color="auto" w:fill="FFFFFF"/>
          </w:tcPr>
          <w:p w14:paraId="379E88CD" w14:textId="5C5ED869" w:rsidR="00AC367B" w:rsidRPr="0029472A" w:rsidRDefault="00AC367B" w:rsidP="0029472A">
            <w:pPr>
              <w:spacing w:before="240" w:line="240" w:lineRule="auto"/>
              <w:jc w:val="center"/>
              <w:textAlignment w:val="center"/>
              <w:rPr>
                <w:rFonts w:eastAsia="Microsoft JhengHei UI" w:cstheme="minorHAnsi"/>
                <w:color w:val="000000"/>
                <w:kern w:val="24"/>
                <w:sz w:val="20"/>
                <w:szCs w:val="20"/>
              </w:rPr>
            </w:pPr>
            <w:r w:rsidRPr="0029472A">
              <w:rPr>
                <w:sz w:val="20"/>
                <w:szCs w:val="20"/>
              </w:rPr>
              <w:t>39,2</w:t>
            </w:r>
          </w:p>
        </w:tc>
      </w:tr>
      <w:bookmarkEnd w:id="9"/>
      <w:bookmarkEnd w:id="10"/>
    </w:tbl>
    <w:p w14:paraId="0A0755F5" w14:textId="77777777" w:rsidR="00BC259B" w:rsidRPr="00E36734" w:rsidRDefault="00BC259B" w:rsidP="00A417BC">
      <w:pPr>
        <w:spacing w:after="0" w:line="360" w:lineRule="auto"/>
        <w:jc w:val="both"/>
        <w:rPr>
          <w:rFonts w:ascii="Times New Roman" w:hAnsi="Times New Roman" w:cs="Times New Roman"/>
          <w:sz w:val="24"/>
          <w:szCs w:val="24"/>
        </w:rPr>
      </w:pPr>
    </w:p>
    <w:p w14:paraId="19C6AFFC" w14:textId="53F9E74B" w:rsidR="00A9257F" w:rsidRPr="00DF2079" w:rsidRDefault="00A9257F" w:rsidP="00761263">
      <w:pPr>
        <w:spacing w:after="0" w:line="360" w:lineRule="auto"/>
        <w:jc w:val="both"/>
        <w:rPr>
          <w:rFonts w:ascii="Times New Roman" w:hAnsi="Times New Roman" w:cs="Times New Roman"/>
          <w:b/>
          <w:sz w:val="24"/>
          <w:szCs w:val="24"/>
          <w:u w:val="single"/>
        </w:rPr>
      </w:pPr>
      <w:r w:rsidRPr="00DF2079">
        <w:rPr>
          <w:rFonts w:ascii="Times New Roman" w:hAnsi="Times New Roman" w:cs="Times New Roman"/>
          <w:b/>
          <w:sz w:val="24"/>
          <w:szCs w:val="24"/>
          <w:u w:val="single"/>
        </w:rPr>
        <w:t>Ζήτηση</w:t>
      </w:r>
      <w:r w:rsidR="004F497A" w:rsidRPr="00DF2079">
        <w:rPr>
          <w:rFonts w:ascii="Times New Roman" w:hAnsi="Times New Roman" w:cs="Times New Roman"/>
          <w:b/>
          <w:sz w:val="24"/>
          <w:szCs w:val="24"/>
          <w:u w:val="single"/>
        </w:rPr>
        <w:t xml:space="preserve"> – Παραγγελίες – Τιμές </w:t>
      </w:r>
    </w:p>
    <w:p w14:paraId="567B616D" w14:textId="5095D077" w:rsidR="00CC546C" w:rsidRDefault="00A9257F" w:rsidP="00761263">
      <w:pPr>
        <w:spacing w:after="0" w:line="360" w:lineRule="auto"/>
        <w:jc w:val="both"/>
        <w:rPr>
          <w:rFonts w:ascii="Times New Roman" w:hAnsi="Times New Roman" w:cs="Times New Roman"/>
          <w:sz w:val="24"/>
          <w:szCs w:val="24"/>
        </w:rPr>
      </w:pPr>
      <w:bookmarkStart w:id="11" w:name="_Hlk68246188"/>
      <w:r w:rsidRPr="00DF2079">
        <w:rPr>
          <w:rFonts w:ascii="Times New Roman" w:hAnsi="Times New Roman" w:cs="Times New Roman"/>
          <w:sz w:val="24"/>
          <w:szCs w:val="24"/>
        </w:rPr>
        <w:t>Όσον αφορά τη ζήτηση</w:t>
      </w:r>
      <w:r w:rsidR="00FB4180">
        <w:rPr>
          <w:rFonts w:ascii="Times New Roman" w:hAnsi="Times New Roman" w:cs="Times New Roman"/>
          <w:sz w:val="24"/>
          <w:szCs w:val="24"/>
        </w:rPr>
        <w:t>,</w:t>
      </w:r>
      <w:r w:rsidRPr="00DF2079">
        <w:rPr>
          <w:rFonts w:ascii="Times New Roman" w:hAnsi="Times New Roman" w:cs="Times New Roman"/>
          <w:sz w:val="24"/>
          <w:szCs w:val="24"/>
        </w:rPr>
        <w:t xml:space="preserve"> το </w:t>
      </w:r>
      <w:r w:rsidR="00DF2079" w:rsidRPr="00DF2079">
        <w:rPr>
          <w:rFonts w:ascii="Times New Roman" w:hAnsi="Times New Roman" w:cs="Times New Roman"/>
          <w:sz w:val="24"/>
          <w:szCs w:val="24"/>
        </w:rPr>
        <w:t>51,8</w:t>
      </w:r>
      <w:r w:rsidRPr="00DF2079">
        <w:rPr>
          <w:rFonts w:ascii="Times New Roman" w:hAnsi="Times New Roman" w:cs="Times New Roman"/>
          <w:sz w:val="24"/>
          <w:szCs w:val="24"/>
        </w:rPr>
        <w:t xml:space="preserve">% δήλωσε πως κατά το </w:t>
      </w:r>
      <w:r w:rsidR="00DF2079" w:rsidRPr="00DF2079">
        <w:rPr>
          <w:rFonts w:ascii="Times New Roman" w:hAnsi="Times New Roman" w:cs="Times New Roman"/>
          <w:sz w:val="24"/>
          <w:szCs w:val="24"/>
        </w:rPr>
        <w:t>Α</w:t>
      </w:r>
      <w:r w:rsidR="00FD445D" w:rsidRPr="00DF2079">
        <w:rPr>
          <w:rFonts w:ascii="Times New Roman" w:hAnsi="Times New Roman" w:cs="Times New Roman"/>
          <w:sz w:val="24"/>
          <w:szCs w:val="24"/>
        </w:rPr>
        <w:t xml:space="preserve"> εξάμηνο</w:t>
      </w:r>
      <w:r w:rsidR="00DF2079" w:rsidRPr="00DF2079">
        <w:rPr>
          <w:rFonts w:ascii="Times New Roman" w:hAnsi="Times New Roman" w:cs="Times New Roman"/>
          <w:sz w:val="24"/>
          <w:szCs w:val="24"/>
        </w:rPr>
        <w:t xml:space="preserve"> του 2021</w:t>
      </w:r>
      <w:r w:rsidR="00FD445D" w:rsidRPr="00DF2079">
        <w:rPr>
          <w:rFonts w:ascii="Times New Roman" w:hAnsi="Times New Roman" w:cs="Times New Roman"/>
          <w:sz w:val="24"/>
          <w:szCs w:val="24"/>
        </w:rPr>
        <w:t xml:space="preserve"> </w:t>
      </w:r>
      <w:r w:rsidRPr="00DF2079">
        <w:rPr>
          <w:rFonts w:ascii="Times New Roman" w:hAnsi="Times New Roman" w:cs="Times New Roman"/>
          <w:sz w:val="24"/>
          <w:szCs w:val="24"/>
        </w:rPr>
        <w:t>μειώθηκε</w:t>
      </w:r>
      <w:r w:rsidR="0024078D" w:rsidRPr="00DF2079">
        <w:rPr>
          <w:rFonts w:ascii="Times New Roman" w:hAnsi="Times New Roman" w:cs="Times New Roman"/>
          <w:sz w:val="24"/>
          <w:szCs w:val="24"/>
        </w:rPr>
        <w:t>,</w:t>
      </w:r>
      <w:r w:rsidRPr="00DF2079">
        <w:rPr>
          <w:rFonts w:ascii="Times New Roman" w:hAnsi="Times New Roman" w:cs="Times New Roman"/>
          <w:sz w:val="24"/>
          <w:szCs w:val="24"/>
        </w:rPr>
        <w:t xml:space="preserve"> έναντι του </w:t>
      </w:r>
      <w:r w:rsidR="00DF2079" w:rsidRPr="00DF2079">
        <w:rPr>
          <w:rFonts w:ascii="Times New Roman" w:hAnsi="Times New Roman" w:cs="Times New Roman"/>
          <w:sz w:val="24"/>
          <w:szCs w:val="24"/>
        </w:rPr>
        <w:t>21,1</w:t>
      </w:r>
      <w:r w:rsidRPr="00DF2079">
        <w:rPr>
          <w:rFonts w:ascii="Times New Roman" w:hAnsi="Times New Roman" w:cs="Times New Roman"/>
          <w:sz w:val="24"/>
          <w:szCs w:val="24"/>
        </w:rPr>
        <w:t xml:space="preserve">% που δήλωσε πως αυξήθηκε και του </w:t>
      </w:r>
      <w:r w:rsidR="00DF2079" w:rsidRPr="00DF2079">
        <w:rPr>
          <w:rFonts w:ascii="Times New Roman" w:hAnsi="Times New Roman" w:cs="Times New Roman"/>
          <w:sz w:val="24"/>
          <w:szCs w:val="24"/>
        </w:rPr>
        <w:t>25,7</w:t>
      </w:r>
      <w:r w:rsidRPr="00DF2079">
        <w:rPr>
          <w:rFonts w:ascii="Times New Roman" w:hAnsi="Times New Roman" w:cs="Times New Roman"/>
          <w:sz w:val="24"/>
          <w:szCs w:val="24"/>
        </w:rPr>
        <w:t>% που δήλωσε πως</w:t>
      </w:r>
      <w:r w:rsidR="00906C6F" w:rsidRPr="00DF2079">
        <w:rPr>
          <w:rFonts w:ascii="Times New Roman" w:hAnsi="Times New Roman" w:cs="Times New Roman"/>
          <w:sz w:val="24"/>
          <w:szCs w:val="24"/>
        </w:rPr>
        <w:t xml:space="preserve"> παρέμεινε αμετάβλητη</w:t>
      </w:r>
      <w:r w:rsidR="00FD445D" w:rsidRPr="00DF2079">
        <w:rPr>
          <w:rFonts w:ascii="Times New Roman" w:hAnsi="Times New Roman" w:cs="Times New Roman"/>
          <w:sz w:val="24"/>
          <w:szCs w:val="24"/>
        </w:rPr>
        <w:t>. Για τις παραγγελίες</w:t>
      </w:r>
      <w:r w:rsidR="00FB4180">
        <w:rPr>
          <w:rFonts w:ascii="Times New Roman" w:hAnsi="Times New Roman" w:cs="Times New Roman"/>
          <w:sz w:val="24"/>
          <w:szCs w:val="24"/>
        </w:rPr>
        <w:t>,</w:t>
      </w:r>
      <w:r w:rsidR="00FD445D" w:rsidRPr="00DF2079">
        <w:rPr>
          <w:rFonts w:ascii="Times New Roman" w:hAnsi="Times New Roman" w:cs="Times New Roman"/>
          <w:sz w:val="24"/>
          <w:szCs w:val="24"/>
        </w:rPr>
        <w:t xml:space="preserve"> το </w:t>
      </w:r>
      <w:r w:rsidR="00DF2079">
        <w:rPr>
          <w:rFonts w:ascii="Times New Roman" w:hAnsi="Times New Roman" w:cs="Times New Roman"/>
          <w:sz w:val="24"/>
          <w:szCs w:val="24"/>
        </w:rPr>
        <w:t>54</w:t>
      </w:r>
      <w:r w:rsidR="00FD445D" w:rsidRPr="00DF2079">
        <w:rPr>
          <w:rFonts w:ascii="Times New Roman" w:hAnsi="Times New Roman" w:cs="Times New Roman"/>
          <w:sz w:val="24"/>
          <w:szCs w:val="24"/>
        </w:rPr>
        <w:t xml:space="preserve">% δήλωσε πως το </w:t>
      </w:r>
      <w:r w:rsidR="00DF2079">
        <w:rPr>
          <w:rFonts w:ascii="Times New Roman" w:hAnsi="Times New Roman" w:cs="Times New Roman"/>
          <w:sz w:val="24"/>
          <w:szCs w:val="24"/>
        </w:rPr>
        <w:t>Α</w:t>
      </w:r>
      <w:r w:rsidR="00FD445D" w:rsidRPr="00DF2079">
        <w:rPr>
          <w:rFonts w:ascii="Times New Roman" w:hAnsi="Times New Roman" w:cs="Times New Roman"/>
          <w:sz w:val="24"/>
          <w:szCs w:val="24"/>
        </w:rPr>
        <w:t xml:space="preserve"> εξάμηνο του 202</w:t>
      </w:r>
      <w:r w:rsidR="00DF2079">
        <w:rPr>
          <w:rFonts w:ascii="Times New Roman" w:hAnsi="Times New Roman" w:cs="Times New Roman"/>
          <w:sz w:val="24"/>
          <w:szCs w:val="24"/>
        </w:rPr>
        <w:t>1</w:t>
      </w:r>
      <w:r w:rsidR="00FD445D" w:rsidRPr="00DF2079">
        <w:rPr>
          <w:rFonts w:ascii="Times New Roman" w:hAnsi="Times New Roman" w:cs="Times New Roman"/>
          <w:sz w:val="24"/>
          <w:szCs w:val="24"/>
        </w:rPr>
        <w:t xml:space="preserve"> μειώθηκαν</w:t>
      </w:r>
      <w:r w:rsidR="0024078D" w:rsidRPr="00DF2079">
        <w:rPr>
          <w:rFonts w:ascii="Times New Roman" w:hAnsi="Times New Roman" w:cs="Times New Roman"/>
          <w:sz w:val="24"/>
          <w:szCs w:val="24"/>
        </w:rPr>
        <w:t>,</w:t>
      </w:r>
      <w:r w:rsidR="00FD445D" w:rsidRPr="00DF2079">
        <w:rPr>
          <w:rFonts w:ascii="Times New Roman" w:hAnsi="Times New Roman" w:cs="Times New Roman"/>
          <w:sz w:val="24"/>
          <w:szCs w:val="24"/>
        </w:rPr>
        <w:t xml:space="preserve"> έναντι του</w:t>
      </w:r>
      <w:r w:rsidR="00525F15" w:rsidRPr="00DF2079">
        <w:rPr>
          <w:rFonts w:ascii="Times New Roman" w:hAnsi="Times New Roman" w:cs="Times New Roman"/>
          <w:sz w:val="24"/>
          <w:szCs w:val="24"/>
        </w:rPr>
        <w:t xml:space="preserve"> </w:t>
      </w:r>
      <w:r w:rsidR="00DF2079">
        <w:rPr>
          <w:rFonts w:ascii="Times New Roman" w:hAnsi="Times New Roman" w:cs="Times New Roman"/>
          <w:sz w:val="24"/>
          <w:szCs w:val="24"/>
        </w:rPr>
        <w:t>17,7</w:t>
      </w:r>
      <w:r w:rsidR="00FD445D" w:rsidRPr="00DF2079">
        <w:rPr>
          <w:rFonts w:ascii="Times New Roman" w:hAnsi="Times New Roman" w:cs="Times New Roman"/>
          <w:sz w:val="24"/>
          <w:szCs w:val="24"/>
        </w:rPr>
        <w:t xml:space="preserve">% που δήλωσε πως αυξήθηκαν και </w:t>
      </w:r>
      <w:r w:rsidR="00DF2079">
        <w:rPr>
          <w:rFonts w:ascii="Times New Roman" w:hAnsi="Times New Roman" w:cs="Times New Roman"/>
          <w:sz w:val="24"/>
          <w:szCs w:val="24"/>
        </w:rPr>
        <w:t>του 25,2</w:t>
      </w:r>
      <w:r w:rsidR="00FD445D" w:rsidRPr="00DF2079">
        <w:rPr>
          <w:rFonts w:ascii="Times New Roman" w:hAnsi="Times New Roman" w:cs="Times New Roman"/>
          <w:sz w:val="24"/>
          <w:szCs w:val="24"/>
        </w:rPr>
        <w:t xml:space="preserve">% που </w:t>
      </w:r>
      <w:r w:rsidR="0024078D" w:rsidRPr="00DF2079">
        <w:rPr>
          <w:rFonts w:ascii="Times New Roman" w:hAnsi="Times New Roman" w:cs="Times New Roman"/>
          <w:sz w:val="24"/>
          <w:szCs w:val="24"/>
        </w:rPr>
        <w:t>δήλωσε πως οι</w:t>
      </w:r>
      <w:r w:rsidR="00FD445D" w:rsidRPr="00DF2079">
        <w:rPr>
          <w:rFonts w:ascii="Times New Roman" w:hAnsi="Times New Roman" w:cs="Times New Roman"/>
          <w:sz w:val="24"/>
          <w:szCs w:val="24"/>
        </w:rPr>
        <w:t xml:space="preserve"> παραγγελίες </w:t>
      </w:r>
      <w:r w:rsidR="0024078D" w:rsidRPr="00DF2079">
        <w:rPr>
          <w:rFonts w:ascii="Times New Roman" w:hAnsi="Times New Roman" w:cs="Times New Roman"/>
          <w:sz w:val="24"/>
          <w:szCs w:val="24"/>
        </w:rPr>
        <w:t>παρέμειναν</w:t>
      </w:r>
      <w:r w:rsidR="00FD445D" w:rsidRPr="00DF2079">
        <w:rPr>
          <w:rFonts w:ascii="Times New Roman" w:hAnsi="Times New Roman" w:cs="Times New Roman"/>
          <w:sz w:val="24"/>
          <w:szCs w:val="24"/>
        </w:rPr>
        <w:t xml:space="preserve"> σταθερές</w:t>
      </w:r>
      <w:r w:rsidR="00A92A25">
        <w:rPr>
          <w:rFonts w:ascii="Times New Roman" w:hAnsi="Times New Roman" w:cs="Times New Roman"/>
          <w:sz w:val="24"/>
          <w:szCs w:val="24"/>
        </w:rPr>
        <w:t>. Όσον αφορά τις τιμές αγαθών/υπηρεσιών</w:t>
      </w:r>
      <w:r w:rsidR="00FB4180">
        <w:rPr>
          <w:rFonts w:ascii="Times New Roman" w:hAnsi="Times New Roman" w:cs="Times New Roman"/>
          <w:sz w:val="24"/>
          <w:szCs w:val="24"/>
        </w:rPr>
        <w:t>,</w:t>
      </w:r>
      <w:r w:rsidR="00A92A25">
        <w:rPr>
          <w:rFonts w:ascii="Times New Roman" w:hAnsi="Times New Roman" w:cs="Times New Roman"/>
          <w:sz w:val="24"/>
          <w:szCs w:val="24"/>
        </w:rPr>
        <w:t xml:space="preserve"> είναι η πρώτη φορά σε έρευνα κλίματος του ΙΜΕ ΓΣΕΒΕΕ που καταγράφεται μεγαλύτερο ποσοστό επιχειρήσεων που δήλωσαν πως αύξησαν τις τιμές έναντι των επιχειρήσεων που δήλωσαν πως τις μείωσαν. Συγκεκριμένα το 23,6% των επιχειρήσεων δήλωσε πως κατά το Α</w:t>
      </w:r>
      <w:r w:rsidR="00F90F82">
        <w:rPr>
          <w:rFonts w:ascii="Times New Roman" w:hAnsi="Times New Roman" w:cs="Times New Roman"/>
          <w:sz w:val="24"/>
          <w:szCs w:val="24"/>
        </w:rPr>
        <w:t>’</w:t>
      </w:r>
      <w:r w:rsidR="00A92A25">
        <w:rPr>
          <w:rFonts w:ascii="Times New Roman" w:hAnsi="Times New Roman" w:cs="Times New Roman"/>
          <w:sz w:val="24"/>
          <w:szCs w:val="24"/>
        </w:rPr>
        <w:t xml:space="preserve"> εξάμηνο του 2020 αύξησε τις τιμές των αγαθών/υπηρεσιών έναντι του 16,7% που δήλωσε ότι τις μείωση και του 58,3% που </w:t>
      </w:r>
      <w:r w:rsidR="003A645B">
        <w:rPr>
          <w:rFonts w:ascii="Times New Roman" w:hAnsi="Times New Roman" w:cs="Times New Roman"/>
          <w:sz w:val="24"/>
          <w:szCs w:val="24"/>
        </w:rPr>
        <w:t xml:space="preserve">τις </w:t>
      </w:r>
      <w:r w:rsidR="00A92A25">
        <w:rPr>
          <w:rFonts w:ascii="Times New Roman" w:hAnsi="Times New Roman" w:cs="Times New Roman"/>
          <w:sz w:val="24"/>
          <w:szCs w:val="24"/>
        </w:rPr>
        <w:t>διατήρησε σταθερές</w:t>
      </w:r>
      <w:r w:rsidR="003A645B">
        <w:rPr>
          <w:rFonts w:ascii="Times New Roman" w:hAnsi="Times New Roman" w:cs="Times New Roman"/>
          <w:sz w:val="24"/>
          <w:szCs w:val="24"/>
        </w:rPr>
        <w:t xml:space="preserve"> (Γράφημα 10)</w:t>
      </w:r>
      <w:r w:rsidR="00FD445D" w:rsidRPr="00DF2079">
        <w:rPr>
          <w:rFonts w:ascii="Times New Roman" w:hAnsi="Times New Roman" w:cs="Times New Roman"/>
          <w:sz w:val="24"/>
          <w:szCs w:val="24"/>
        </w:rPr>
        <w:t xml:space="preserve">. </w:t>
      </w:r>
      <w:r w:rsidR="00906C6F" w:rsidRPr="00DF2079">
        <w:rPr>
          <w:rFonts w:ascii="Times New Roman" w:hAnsi="Times New Roman" w:cs="Times New Roman"/>
          <w:sz w:val="24"/>
          <w:szCs w:val="24"/>
        </w:rPr>
        <w:t xml:space="preserve"> </w:t>
      </w:r>
      <w:bookmarkEnd w:id="11"/>
    </w:p>
    <w:p w14:paraId="1E6B4870" w14:textId="27A4B04D" w:rsidR="00045567" w:rsidRDefault="00045567" w:rsidP="00761263">
      <w:pPr>
        <w:spacing w:after="0" w:line="360" w:lineRule="auto"/>
        <w:jc w:val="both"/>
        <w:rPr>
          <w:rFonts w:ascii="Times New Roman" w:hAnsi="Times New Roman" w:cs="Times New Roman"/>
          <w:sz w:val="24"/>
          <w:szCs w:val="24"/>
        </w:rPr>
      </w:pPr>
    </w:p>
    <w:p w14:paraId="740C3384" w14:textId="13213BFA" w:rsidR="00045567" w:rsidRDefault="00045567" w:rsidP="00761263">
      <w:pPr>
        <w:spacing w:after="0" w:line="360" w:lineRule="auto"/>
        <w:jc w:val="both"/>
        <w:rPr>
          <w:rFonts w:ascii="Times New Roman" w:hAnsi="Times New Roman" w:cs="Times New Roman"/>
          <w:sz w:val="24"/>
          <w:szCs w:val="24"/>
        </w:rPr>
      </w:pPr>
    </w:p>
    <w:p w14:paraId="7D06A462" w14:textId="02DD3725" w:rsidR="00045567" w:rsidRDefault="00045567" w:rsidP="00761263">
      <w:pPr>
        <w:spacing w:after="0" w:line="360" w:lineRule="auto"/>
        <w:jc w:val="both"/>
        <w:rPr>
          <w:rFonts w:ascii="Times New Roman" w:hAnsi="Times New Roman" w:cs="Times New Roman"/>
          <w:sz w:val="24"/>
          <w:szCs w:val="24"/>
        </w:rPr>
      </w:pPr>
    </w:p>
    <w:p w14:paraId="7B993D83" w14:textId="40D9B7D7" w:rsidR="00045567" w:rsidRDefault="00045567" w:rsidP="00761263">
      <w:pPr>
        <w:spacing w:after="0" w:line="360" w:lineRule="auto"/>
        <w:jc w:val="both"/>
        <w:rPr>
          <w:rFonts w:ascii="Times New Roman" w:hAnsi="Times New Roman" w:cs="Times New Roman"/>
          <w:sz w:val="24"/>
          <w:szCs w:val="24"/>
        </w:rPr>
      </w:pPr>
    </w:p>
    <w:p w14:paraId="7B6E7736" w14:textId="77777777" w:rsidR="00045567" w:rsidRPr="00E36734" w:rsidRDefault="00045567" w:rsidP="00761263">
      <w:pPr>
        <w:spacing w:after="0" w:line="360" w:lineRule="auto"/>
        <w:jc w:val="both"/>
        <w:rPr>
          <w:rFonts w:ascii="Times New Roman" w:hAnsi="Times New Roman" w:cs="Times New Roman"/>
          <w:sz w:val="24"/>
          <w:szCs w:val="24"/>
        </w:rPr>
      </w:pPr>
    </w:p>
    <w:p w14:paraId="33366FDE" w14:textId="6BD5AF16" w:rsidR="00906C6F" w:rsidRPr="00E36734" w:rsidRDefault="00A9257F" w:rsidP="00906C6F">
      <w:pPr>
        <w:tabs>
          <w:tab w:val="left" w:pos="4530"/>
        </w:tabs>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lastRenderedPageBreak/>
        <w:t xml:space="preserve">Γράφημα </w:t>
      </w:r>
      <w:r w:rsidR="00DF2079">
        <w:rPr>
          <w:rFonts w:ascii="Times New Roman" w:eastAsia="Times New Roman" w:hAnsi="Times New Roman" w:cs="Times New Roman"/>
          <w:b/>
          <w:bCs/>
          <w:sz w:val="24"/>
          <w:szCs w:val="24"/>
          <w:lang w:eastAsia="el-GR"/>
        </w:rPr>
        <w:t>10</w:t>
      </w:r>
    </w:p>
    <w:p w14:paraId="05D18A74" w14:textId="2C064D5E" w:rsidR="00A9257F" w:rsidRPr="00E36734" w:rsidRDefault="00A9257F" w:rsidP="00DF32C4">
      <w:pPr>
        <w:tabs>
          <w:tab w:val="left" w:pos="4530"/>
          <w:tab w:val="left" w:pos="6600"/>
        </w:tabs>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Αποτίμηση τελευταίου εξαμήνου – </w:t>
      </w:r>
      <w:r w:rsidR="00906C6F" w:rsidRPr="00E36734">
        <w:rPr>
          <w:rFonts w:ascii="Times New Roman" w:eastAsia="Times New Roman" w:hAnsi="Times New Roman" w:cs="Times New Roman"/>
          <w:b/>
          <w:bCs/>
          <w:sz w:val="24"/>
          <w:szCs w:val="24"/>
          <w:lang w:eastAsia="el-GR"/>
        </w:rPr>
        <w:t>Σ</w:t>
      </w:r>
      <w:r w:rsidR="00DF32C4">
        <w:rPr>
          <w:rFonts w:ascii="Times New Roman" w:eastAsia="Times New Roman" w:hAnsi="Times New Roman" w:cs="Times New Roman"/>
          <w:b/>
          <w:bCs/>
          <w:sz w:val="24"/>
          <w:szCs w:val="24"/>
          <w:lang w:eastAsia="el-GR"/>
        </w:rPr>
        <w:t>υγκεντρωτικοί δείκτες</w:t>
      </w:r>
    </w:p>
    <w:p w14:paraId="52B93DE9" w14:textId="7173CEB0" w:rsidR="00A9257F" w:rsidRPr="00E36734" w:rsidRDefault="000A0DC2" w:rsidP="00761263">
      <w:pPr>
        <w:tabs>
          <w:tab w:val="left" w:pos="4530"/>
        </w:tabs>
        <w:spacing w:after="0" w:line="360" w:lineRule="auto"/>
        <w:jc w:val="both"/>
        <w:rPr>
          <w:rFonts w:ascii="Times New Roman" w:eastAsia="Times New Roman" w:hAnsi="Times New Roman" w:cs="Times New Roman"/>
          <w:b/>
          <w:bCs/>
          <w:noProof/>
          <w:sz w:val="24"/>
          <w:szCs w:val="24"/>
          <w:lang w:eastAsia="el-GR"/>
        </w:rPr>
      </w:pPr>
      <w:r w:rsidRPr="00E36734">
        <w:rPr>
          <w:rFonts w:ascii="Times New Roman" w:eastAsia="Times New Roman" w:hAnsi="Times New Roman" w:cs="Times New Roman"/>
          <w:b/>
          <w:bCs/>
          <w:noProof/>
          <w:sz w:val="24"/>
          <w:szCs w:val="24"/>
          <w:lang w:val="en-US"/>
        </w:rPr>
        <w:drawing>
          <wp:inline distT="0" distB="0" distL="0" distR="0" wp14:anchorId="02CD23B6" wp14:editId="7BB73250">
            <wp:extent cx="6570980" cy="1889760"/>
            <wp:effectExtent l="0" t="0" r="1270" b="15240"/>
            <wp:docPr id="21" name="Γράφημα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BE9A94" w14:textId="77777777" w:rsidR="003A645B" w:rsidRDefault="003A645B" w:rsidP="00DF2079">
      <w:pPr>
        <w:spacing w:after="0" w:line="360" w:lineRule="auto"/>
        <w:jc w:val="both"/>
        <w:rPr>
          <w:rFonts w:ascii="Times New Roman" w:hAnsi="Times New Roman" w:cs="Times New Roman"/>
          <w:sz w:val="24"/>
          <w:szCs w:val="24"/>
          <w:highlight w:val="yellow"/>
        </w:rPr>
      </w:pPr>
    </w:p>
    <w:p w14:paraId="74CDB1A9" w14:textId="16F9397F" w:rsidR="003A645B" w:rsidRDefault="003A645B" w:rsidP="00DF2079">
      <w:pPr>
        <w:spacing w:after="0" w:line="360" w:lineRule="auto"/>
        <w:jc w:val="both"/>
        <w:rPr>
          <w:rFonts w:ascii="Times New Roman" w:hAnsi="Times New Roman" w:cs="Times New Roman"/>
          <w:sz w:val="24"/>
          <w:szCs w:val="24"/>
        </w:rPr>
      </w:pPr>
      <w:r w:rsidRPr="003A645B">
        <w:rPr>
          <w:rFonts w:ascii="Times New Roman" w:hAnsi="Times New Roman" w:cs="Times New Roman"/>
          <w:sz w:val="24"/>
          <w:szCs w:val="24"/>
        </w:rPr>
        <w:t xml:space="preserve">Στο Γράφημα 11 φαίνεται η σημαντική αύξηση των επιχειρήσεων (23,6%) που ανατίμησαν τα προϊόντα ή υπηρεσίες σε σχέση με τα ποσοστά που καταγράφονταν τα προηγούμενα έτη. </w:t>
      </w:r>
    </w:p>
    <w:p w14:paraId="127DB1B5" w14:textId="034A690D" w:rsidR="00A417BC" w:rsidRPr="00E36734" w:rsidRDefault="00A417BC" w:rsidP="00761263">
      <w:pPr>
        <w:tabs>
          <w:tab w:val="left" w:pos="4530"/>
        </w:tabs>
        <w:spacing w:after="0" w:line="360" w:lineRule="auto"/>
        <w:jc w:val="both"/>
        <w:rPr>
          <w:rFonts w:ascii="Times New Roman" w:eastAsia="Times New Roman" w:hAnsi="Times New Roman" w:cs="Times New Roman"/>
          <w:b/>
          <w:bCs/>
          <w:noProof/>
          <w:sz w:val="24"/>
          <w:szCs w:val="24"/>
          <w:lang w:eastAsia="el-GR"/>
        </w:rPr>
      </w:pPr>
    </w:p>
    <w:p w14:paraId="5377EA07" w14:textId="3E344194" w:rsidR="0029472A" w:rsidRPr="003A645B" w:rsidRDefault="003A645B" w:rsidP="003A645B">
      <w:pPr>
        <w:spacing w:after="0" w:line="360" w:lineRule="auto"/>
        <w:jc w:val="center"/>
        <w:rPr>
          <w:rFonts w:ascii="Times New Roman" w:eastAsia="Times New Roman" w:hAnsi="Times New Roman" w:cs="Times New Roman"/>
          <w:b/>
          <w:bCs/>
          <w:noProof/>
          <w:sz w:val="24"/>
          <w:szCs w:val="24"/>
          <w:lang w:eastAsia="el-GR"/>
        </w:rPr>
      </w:pPr>
      <w:r w:rsidRPr="003A645B">
        <w:rPr>
          <w:rFonts w:ascii="Times New Roman" w:eastAsia="Times New Roman" w:hAnsi="Times New Roman" w:cs="Times New Roman"/>
          <w:b/>
          <w:bCs/>
          <w:noProof/>
          <w:sz w:val="24"/>
          <w:szCs w:val="24"/>
          <w:lang w:eastAsia="el-GR"/>
        </w:rPr>
        <w:t>ΓΡΑΦΗΜΑ 11</w:t>
      </w:r>
    </w:p>
    <w:p w14:paraId="6A4F59AA" w14:textId="012FBACF" w:rsidR="003A645B" w:rsidRPr="003A645B" w:rsidRDefault="003A645B" w:rsidP="003A645B">
      <w:pPr>
        <w:spacing w:after="0" w:line="360" w:lineRule="auto"/>
        <w:jc w:val="center"/>
        <w:rPr>
          <w:rFonts w:ascii="Times New Roman" w:hAnsi="Times New Roman" w:cs="Times New Roman"/>
          <w:b/>
          <w:sz w:val="24"/>
          <w:szCs w:val="24"/>
        </w:rPr>
      </w:pPr>
      <w:r w:rsidRPr="003A645B">
        <w:rPr>
          <w:rFonts w:ascii="Times New Roman" w:hAnsi="Times New Roman" w:cs="Times New Roman"/>
          <w:b/>
          <w:sz w:val="24"/>
          <w:szCs w:val="24"/>
        </w:rPr>
        <w:t>ΤΙΜΕΣ ΑΓΑΘΩΝ/ ΥΠΗΡΕΣΙΩΝ</w:t>
      </w:r>
    </w:p>
    <w:p w14:paraId="25C1CE73" w14:textId="5E1BC487" w:rsidR="0029472A" w:rsidRPr="003A645B" w:rsidRDefault="003A645B" w:rsidP="003A645B">
      <w:pPr>
        <w:spacing w:after="0" w:line="360" w:lineRule="auto"/>
        <w:jc w:val="center"/>
        <w:rPr>
          <w:rFonts w:ascii="Times New Roman" w:eastAsia="Times New Roman" w:hAnsi="Times New Roman" w:cs="Times New Roman"/>
          <w:b/>
          <w:bCs/>
          <w:noProof/>
          <w:sz w:val="24"/>
          <w:szCs w:val="24"/>
          <w:lang w:eastAsia="el-GR"/>
        </w:rPr>
      </w:pPr>
      <w:r w:rsidRPr="003A645B">
        <w:rPr>
          <w:rFonts w:ascii="Times New Roman" w:hAnsi="Times New Roman" w:cs="Times New Roman"/>
          <w:b/>
          <w:sz w:val="24"/>
          <w:szCs w:val="24"/>
        </w:rPr>
        <w:t>ΣΥΓΚΡΙΣΗ ΜΕ ΠΡΟΗΓΟΥΜΕΝΕΣ ΕΡΕΥΝΕΣ</w:t>
      </w:r>
    </w:p>
    <w:p w14:paraId="5454CD67" w14:textId="685A3E3E" w:rsidR="0029472A" w:rsidRDefault="00A15E43" w:rsidP="00761263">
      <w:pPr>
        <w:spacing w:after="0" w:line="360" w:lineRule="auto"/>
        <w:jc w:val="both"/>
        <w:rPr>
          <w:rFonts w:ascii="Times New Roman" w:eastAsia="Times New Roman" w:hAnsi="Times New Roman" w:cs="Times New Roman"/>
          <w:b/>
          <w:bCs/>
          <w:noProof/>
          <w:sz w:val="24"/>
          <w:szCs w:val="24"/>
          <w:u w:val="single"/>
          <w:lang w:eastAsia="el-GR"/>
        </w:rPr>
      </w:pPr>
      <w:r w:rsidRPr="00A15E43">
        <w:rPr>
          <w:rFonts w:ascii="Times New Roman" w:eastAsia="Times New Roman" w:hAnsi="Times New Roman" w:cs="Times New Roman"/>
          <w:b/>
          <w:bCs/>
          <w:noProof/>
          <w:sz w:val="14"/>
          <w:szCs w:val="14"/>
          <w:u w:val="single"/>
          <w:lang w:val="en-US"/>
        </w:rPr>
        <w:drawing>
          <wp:inline distT="0" distB="0" distL="0" distR="0" wp14:anchorId="6912C9FB" wp14:editId="2F8488D6">
            <wp:extent cx="6576060" cy="2628900"/>
            <wp:effectExtent l="0" t="0" r="15240" b="19050"/>
            <wp:docPr id="38" name="Γράφημα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652009" w14:textId="32CB5CF0" w:rsidR="00396EBA" w:rsidRDefault="00396EBA" w:rsidP="00396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Στα επιμέρους στοιχεία, μεγάλες συγκεντρώσεις επιχειρήσεων που αύξησαν τις τιμές καταγράφονται στο εμπόριο (35,1%) και τη μεταποίηση (29,5%), έναντι των υπηρεσιών όπου μόλις το 8,5% προχώρησαν σε αύξηση τιμών. Επιπλέον, το 40,7% των επιχειρήσεων με κύκλο εργασιών πάνω από 300.000 € αύξησε τις τιμές του το προηγούμενο εξάμηνο (Γράφημα 12).</w:t>
      </w:r>
      <w:r w:rsidR="00DF32C4">
        <w:rPr>
          <w:rFonts w:ascii="Times New Roman" w:hAnsi="Times New Roman" w:cs="Times New Roman"/>
          <w:sz w:val="24"/>
          <w:szCs w:val="24"/>
        </w:rPr>
        <w:t xml:space="preserve"> </w:t>
      </w:r>
    </w:p>
    <w:p w14:paraId="64CA34A9" w14:textId="77777777" w:rsidR="00FB4180" w:rsidRDefault="00FB4180" w:rsidP="00396EBA">
      <w:pPr>
        <w:spacing w:after="0" w:line="360" w:lineRule="auto"/>
        <w:jc w:val="both"/>
        <w:rPr>
          <w:rFonts w:ascii="Times New Roman" w:hAnsi="Times New Roman" w:cs="Times New Roman"/>
          <w:sz w:val="24"/>
          <w:szCs w:val="24"/>
        </w:rPr>
      </w:pPr>
    </w:p>
    <w:p w14:paraId="1B4119EC" w14:textId="77777777" w:rsidR="00FB4180" w:rsidRDefault="00FB4180" w:rsidP="00396EBA">
      <w:pPr>
        <w:spacing w:after="0" w:line="360" w:lineRule="auto"/>
        <w:jc w:val="both"/>
        <w:rPr>
          <w:rFonts w:ascii="Times New Roman" w:hAnsi="Times New Roman" w:cs="Times New Roman"/>
          <w:sz w:val="24"/>
          <w:szCs w:val="24"/>
        </w:rPr>
      </w:pPr>
    </w:p>
    <w:p w14:paraId="4BB5E68B" w14:textId="0A82583B" w:rsidR="00A15E43" w:rsidRDefault="00396EBA" w:rsidP="00DF32C4">
      <w:pPr>
        <w:spacing w:after="0" w:line="360" w:lineRule="auto"/>
        <w:jc w:val="center"/>
        <w:rPr>
          <w:rFonts w:ascii="Times New Roman" w:hAnsi="Times New Roman" w:cs="Times New Roman"/>
          <w:b/>
          <w:bCs/>
          <w:sz w:val="24"/>
          <w:szCs w:val="24"/>
        </w:rPr>
      </w:pPr>
      <w:r w:rsidRPr="00396EBA">
        <w:rPr>
          <w:rFonts w:ascii="Times New Roman" w:hAnsi="Times New Roman" w:cs="Times New Roman"/>
          <w:b/>
          <w:bCs/>
          <w:sz w:val="24"/>
          <w:szCs w:val="24"/>
        </w:rPr>
        <w:lastRenderedPageBreak/>
        <w:t>Γράφημα 12</w:t>
      </w:r>
    </w:p>
    <w:p w14:paraId="746FA738" w14:textId="4134BA14" w:rsidR="00DF32C4" w:rsidRDefault="00DF32C4" w:rsidP="00DF32C4">
      <w:pPr>
        <w:spacing w:after="0" w:line="360" w:lineRule="auto"/>
        <w:jc w:val="center"/>
        <w:rPr>
          <w:rFonts w:ascii="Times New Roman" w:hAnsi="Times New Roman" w:cs="Times New Roman"/>
          <w:b/>
          <w:bCs/>
          <w:sz w:val="24"/>
          <w:szCs w:val="24"/>
        </w:rPr>
      </w:pPr>
      <w:r w:rsidRPr="00DF32C4">
        <w:rPr>
          <w:rFonts w:ascii="Times New Roman" w:hAnsi="Times New Roman" w:cs="Times New Roman"/>
          <w:b/>
          <w:bCs/>
          <w:sz w:val="24"/>
          <w:szCs w:val="24"/>
        </w:rPr>
        <w:t>ΤΙΜΕΣ ΑΓΑΘΩΝ/ ΥΠΗΡΕΣΙΩΝ</w:t>
      </w:r>
    </w:p>
    <w:p w14:paraId="1ED3676F" w14:textId="4215CE18" w:rsidR="00DF32C4" w:rsidRPr="00DF32C4" w:rsidRDefault="00DF32C4" w:rsidP="00DF32C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-Ανά κατηγορία-</w:t>
      </w:r>
    </w:p>
    <w:p w14:paraId="4413A0D0" w14:textId="2916DB5E" w:rsidR="00A15E43" w:rsidRDefault="00A15E43" w:rsidP="00761263">
      <w:pPr>
        <w:spacing w:after="0" w:line="360" w:lineRule="auto"/>
        <w:jc w:val="both"/>
        <w:rPr>
          <w:rFonts w:ascii="Times New Roman" w:eastAsia="Times New Roman" w:hAnsi="Times New Roman" w:cs="Times New Roman"/>
          <w:b/>
          <w:bCs/>
          <w:noProof/>
          <w:sz w:val="24"/>
          <w:szCs w:val="24"/>
          <w:u w:val="single"/>
          <w:lang w:eastAsia="el-GR"/>
        </w:rPr>
      </w:pPr>
      <w:r w:rsidRPr="00A15E43">
        <w:rPr>
          <w:rFonts w:ascii="Times New Roman" w:eastAsia="Times New Roman" w:hAnsi="Times New Roman" w:cs="Times New Roman"/>
          <w:b/>
          <w:bCs/>
          <w:noProof/>
          <w:sz w:val="24"/>
          <w:szCs w:val="24"/>
          <w:u w:val="single"/>
          <w:lang w:val="en-US"/>
        </w:rPr>
        <w:drawing>
          <wp:inline distT="0" distB="0" distL="0" distR="0" wp14:anchorId="1A97CF5B" wp14:editId="04AC920F">
            <wp:extent cx="6570980" cy="4366260"/>
            <wp:effectExtent l="0" t="0" r="1270" b="15240"/>
            <wp:docPr id="40" name="Γράφημα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EA7685" w14:textId="65A2FAE1" w:rsidR="00A15E43" w:rsidRDefault="00A15E43" w:rsidP="00761263">
      <w:pPr>
        <w:spacing w:after="0" w:line="360" w:lineRule="auto"/>
        <w:jc w:val="both"/>
        <w:rPr>
          <w:rFonts w:ascii="Times New Roman" w:eastAsia="Times New Roman" w:hAnsi="Times New Roman" w:cs="Times New Roman"/>
          <w:b/>
          <w:bCs/>
          <w:noProof/>
          <w:sz w:val="24"/>
          <w:szCs w:val="24"/>
          <w:u w:val="single"/>
          <w:lang w:eastAsia="el-GR"/>
        </w:rPr>
      </w:pPr>
    </w:p>
    <w:p w14:paraId="387F6BAC" w14:textId="32523583" w:rsidR="00396EBA" w:rsidRDefault="00BA57E9" w:rsidP="00761263">
      <w:pPr>
        <w:spacing w:after="0" w:line="360" w:lineRule="auto"/>
        <w:jc w:val="both"/>
        <w:rPr>
          <w:rFonts w:ascii="Times New Roman" w:eastAsia="Times New Roman" w:hAnsi="Times New Roman" w:cs="Times New Roman"/>
          <w:bCs/>
          <w:noProof/>
          <w:sz w:val="24"/>
          <w:szCs w:val="24"/>
          <w:lang w:eastAsia="el-GR"/>
        </w:rPr>
      </w:pPr>
      <w:r>
        <w:rPr>
          <w:rFonts w:ascii="Times New Roman" w:eastAsia="Times New Roman" w:hAnsi="Times New Roman" w:cs="Times New Roman"/>
          <w:bCs/>
          <w:noProof/>
          <w:sz w:val="24"/>
          <w:szCs w:val="24"/>
          <w:lang w:eastAsia="el-GR"/>
        </w:rPr>
        <w:t>Επιπλέον το 31,4% των επιχειρήσεων που το προηγούμενο διάστημα δεν αν</w:t>
      </w:r>
      <w:r w:rsidR="00FB4180">
        <w:rPr>
          <w:rFonts w:ascii="Times New Roman" w:eastAsia="Times New Roman" w:hAnsi="Times New Roman" w:cs="Times New Roman"/>
          <w:bCs/>
          <w:noProof/>
          <w:sz w:val="24"/>
          <w:szCs w:val="24"/>
          <w:lang w:eastAsia="el-GR"/>
        </w:rPr>
        <w:t>ή</w:t>
      </w:r>
      <w:r>
        <w:rPr>
          <w:rFonts w:ascii="Times New Roman" w:eastAsia="Times New Roman" w:hAnsi="Times New Roman" w:cs="Times New Roman"/>
          <w:bCs/>
          <w:noProof/>
          <w:sz w:val="24"/>
          <w:szCs w:val="24"/>
          <w:lang w:eastAsia="el-GR"/>
        </w:rPr>
        <w:t>καν ουτε σε εκείνες που ανέστειλαν την λειτουργία τους με κρατική εντολή ούτε στις με βαση ΚΑΔ πληττομενες</w:t>
      </w:r>
      <w:r w:rsidR="00FB4180">
        <w:rPr>
          <w:rFonts w:ascii="Times New Roman" w:eastAsia="Times New Roman" w:hAnsi="Times New Roman" w:cs="Times New Roman"/>
          <w:bCs/>
          <w:noProof/>
          <w:sz w:val="24"/>
          <w:szCs w:val="24"/>
          <w:lang w:eastAsia="el-GR"/>
        </w:rPr>
        <w:t>,</w:t>
      </w:r>
      <w:r>
        <w:rPr>
          <w:rFonts w:ascii="Times New Roman" w:eastAsia="Times New Roman" w:hAnsi="Times New Roman" w:cs="Times New Roman"/>
          <w:bCs/>
          <w:noProof/>
          <w:sz w:val="24"/>
          <w:szCs w:val="24"/>
          <w:lang w:eastAsia="el-GR"/>
        </w:rPr>
        <w:t xml:space="preserve"> α</w:t>
      </w:r>
      <w:r w:rsidR="00FB4180">
        <w:rPr>
          <w:rFonts w:ascii="Times New Roman" w:eastAsia="Times New Roman" w:hAnsi="Times New Roman" w:cs="Times New Roman"/>
          <w:bCs/>
          <w:noProof/>
          <w:sz w:val="24"/>
          <w:szCs w:val="24"/>
          <w:lang w:eastAsia="el-GR"/>
        </w:rPr>
        <w:t>ύ</w:t>
      </w:r>
      <w:r>
        <w:rPr>
          <w:rFonts w:ascii="Times New Roman" w:eastAsia="Times New Roman" w:hAnsi="Times New Roman" w:cs="Times New Roman"/>
          <w:bCs/>
          <w:noProof/>
          <w:sz w:val="24"/>
          <w:szCs w:val="24"/>
          <w:lang w:eastAsia="el-GR"/>
        </w:rPr>
        <w:t xml:space="preserve">ξησαν τις τιμές των αγαθών/υπηρεσιών </w:t>
      </w:r>
      <w:r w:rsidR="00FB4180">
        <w:rPr>
          <w:rFonts w:ascii="Times New Roman" w:eastAsia="Times New Roman" w:hAnsi="Times New Roman" w:cs="Times New Roman"/>
          <w:bCs/>
          <w:noProof/>
          <w:sz w:val="24"/>
          <w:szCs w:val="24"/>
          <w:lang w:eastAsia="el-GR"/>
        </w:rPr>
        <w:t>έ</w:t>
      </w:r>
      <w:r>
        <w:rPr>
          <w:rFonts w:ascii="Times New Roman" w:eastAsia="Times New Roman" w:hAnsi="Times New Roman" w:cs="Times New Roman"/>
          <w:bCs/>
          <w:noProof/>
          <w:sz w:val="24"/>
          <w:szCs w:val="24"/>
          <w:lang w:eastAsia="el-GR"/>
        </w:rPr>
        <w:t>ναντι του 9,4% που τις μείωσε και του 58% που τι</w:t>
      </w:r>
      <w:r w:rsidR="00FB4180">
        <w:rPr>
          <w:rFonts w:ascii="Times New Roman" w:eastAsia="Times New Roman" w:hAnsi="Times New Roman" w:cs="Times New Roman"/>
          <w:bCs/>
          <w:noProof/>
          <w:sz w:val="24"/>
          <w:szCs w:val="24"/>
          <w:lang w:eastAsia="el-GR"/>
        </w:rPr>
        <w:t xml:space="preserve">ς </w:t>
      </w:r>
      <w:r>
        <w:rPr>
          <w:rFonts w:ascii="Times New Roman" w:eastAsia="Times New Roman" w:hAnsi="Times New Roman" w:cs="Times New Roman"/>
          <w:bCs/>
          <w:noProof/>
          <w:sz w:val="24"/>
          <w:szCs w:val="24"/>
          <w:lang w:eastAsia="el-GR"/>
        </w:rPr>
        <w:t>διατήρησε αμετάβλητες. Από την άλλη μ</w:t>
      </w:r>
      <w:r w:rsidR="00FB4180">
        <w:rPr>
          <w:rFonts w:ascii="Times New Roman" w:eastAsia="Times New Roman" w:hAnsi="Times New Roman" w:cs="Times New Roman"/>
          <w:bCs/>
          <w:noProof/>
          <w:sz w:val="24"/>
          <w:szCs w:val="24"/>
          <w:lang w:eastAsia="el-GR"/>
        </w:rPr>
        <w:t>ε</w:t>
      </w:r>
      <w:r>
        <w:rPr>
          <w:rFonts w:ascii="Times New Roman" w:eastAsia="Times New Roman" w:hAnsi="Times New Roman" w:cs="Times New Roman"/>
          <w:bCs/>
          <w:noProof/>
          <w:sz w:val="24"/>
          <w:szCs w:val="24"/>
          <w:lang w:eastAsia="el-GR"/>
        </w:rPr>
        <w:t>ρι</w:t>
      </w:r>
      <w:r w:rsidR="00FB4180">
        <w:rPr>
          <w:rFonts w:ascii="Times New Roman" w:eastAsia="Times New Roman" w:hAnsi="Times New Roman" w:cs="Times New Roman"/>
          <w:bCs/>
          <w:noProof/>
          <w:sz w:val="24"/>
          <w:szCs w:val="24"/>
          <w:lang w:eastAsia="el-GR"/>
        </w:rPr>
        <w:t>ά,</w:t>
      </w:r>
      <w:r>
        <w:rPr>
          <w:rFonts w:ascii="Times New Roman" w:eastAsia="Times New Roman" w:hAnsi="Times New Roman" w:cs="Times New Roman"/>
          <w:bCs/>
          <w:noProof/>
          <w:sz w:val="24"/>
          <w:szCs w:val="24"/>
          <w:lang w:eastAsia="el-GR"/>
        </w:rPr>
        <w:t xml:space="preserve"> οι επιχειρήσεις εστίασης φαίνεται πως διατήρησαν τις τιμές τους σταθερές παρά δυσκολίες που αντιμετωπίζουν (Πίνακας 4). Συγκεκριμένα</w:t>
      </w:r>
      <w:r w:rsidR="00FB4180">
        <w:rPr>
          <w:rFonts w:ascii="Times New Roman" w:eastAsia="Times New Roman" w:hAnsi="Times New Roman" w:cs="Times New Roman"/>
          <w:bCs/>
          <w:noProof/>
          <w:sz w:val="24"/>
          <w:szCs w:val="24"/>
          <w:lang w:eastAsia="el-GR"/>
        </w:rPr>
        <w:t>,</w:t>
      </w:r>
      <w:r>
        <w:rPr>
          <w:rFonts w:ascii="Times New Roman" w:eastAsia="Times New Roman" w:hAnsi="Times New Roman" w:cs="Times New Roman"/>
          <w:bCs/>
          <w:noProof/>
          <w:sz w:val="24"/>
          <w:szCs w:val="24"/>
          <w:lang w:eastAsia="el-GR"/>
        </w:rPr>
        <w:t xml:space="preserve"> το 6,2% των επιχειρήσεων εστίασης α</w:t>
      </w:r>
      <w:r w:rsidR="00FB4180">
        <w:rPr>
          <w:rFonts w:ascii="Times New Roman" w:eastAsia="Times New Roman" w:hAnsi="Times New Roman" w:cs="Times New Roman"/>
          <w:bCs/>
          <w:noProof/>
          <w:sz w:val="24"/>
          <w:szCs w:val="24"/>
          <w:lang w:eastAsia="el-GR"/>
        </w:rPr>
        <w:t>ύ</w:t>
      </w:r>
      <w:r>
        <w:rPr>
          <w:rFonts w:ascii="Times New Roman" w:eastAsia="Times New Roman" w:hAnsi="Times New Roman" w:cs="Times New Roman"/>
          <w:bCs/>
          <w:noProof/>
          <w:sz w:val="24"/>
          <w:szCs w:val="24"/>
          <w:lang w:eastAsia="el-GR"/>
        </w:rPr>
        <w:t>ξησαν τις τιμές των αγαθών/υπηρεσιών τους</w:t>
      </w:r>
      <w:r w:rsidR="00FB4180">
        <w:rPr>
          <w:rFonts w:ascii="Times New Roman" w:eastAsia="Times New Roman" w:hAnsi="Times New Roman" w:cs="Times New Roman"/>
          <w:bCs/>
          <w:noProof/>
          <w:sz w:val="24"/>
          <w:szCs w:val="24"/>
          <w:lang w:eastAsia="el-GR"/>
        </w:rPr>
        <w:t>,</w:t>
      </w:r>
      <w:r>
        <w:rPr>
          <w:rFonts w:ascii="Times New Roman" w:eastAsia="Times New Roman" w:hAnsi="Times New Roman" w:cs="Times New Roman"/>
          <w:bCs/>
          <w:noProof/>
          <w:sz w:val="24"/>
          <w:szCs w:val="24"/>
          <w:lang w:eastAsia="el-GR"/>
        </w:rPr>
        <w:t xml:space="preserve"> </w:t>
      </w:r>
      <w:r w:rsidR="00FB4180">
        <w:rPr>
          <w:rFonts w:ascii="Times New Roman" w:eastAsia="Times New Roman" w:hAnsi="Times New Roman" w:cs="Times New Roman"/>
          <w:bCs/>
          <w:noProof/>
          <w:sz w:val="24"/>
          <w:szCs w:val="24"/>
          <w:lang w:eastAsia="el-GR"/>
        </w:rPr>
        <w:t>έ</w:t>
      </w:r>
      <w:r>
        <w:rPr>
          <w:rFonts w:ascii="Times New Roman" w:eastAsia="Times New Roman" w:hAnsi="Times New Roman" w:cs="Times New Roman"/>
          <w:bCs/>
          <w:noProof/>
          <w:sz w:val="24"/>
          <w:szCs w:val="24"/>
          <w:lang w:eastAsia="el-GR"/>
        </w:rPr>
        <w:t xml:space="preserve">ναντι του 12,4% που </w:t>
      </w:r>
      <w:r w:rsidR="00820ED0">
        <w:rPr>
          <w:rFonts w:ascii="Times New Roman" w:eastAsia="Times New Roman" w:hAnsi="Times New Roman" w:cs="Times New Roman"/>
          <w:bCs/>
          <w:noProof/>
          <w:sz w:val="24"/>
          <w:szCs w:val="24"/>
          <w:lang w:eastAsia="el-GR"/>
        </w:rPr>
        <w:t>τις μείωσε και του 79,4% που τις</w:t>
      </w:r>
      <w:r>
        <w:rPr>
          <w:rFonts w:ascii="Times New Roman" w:eastAsia="Times New Roman" w:hAnsi="Times New Roman" w:cs="Times New Roman"/>
          <w:bCs/>
          <w:noProof/>
          <w:sz w:val="24"/>
          <w:szCs w:val="24"/>
          <w:lang w:eastAsia="el-GR"/>
        </w:rPr>
        <w:t xml:space="preserve"> διατήρησε σταθερές. </w:t>
      </w:r>
    </w:p>
    <w:p w14:paraId="5990499B" w14:textId="57E05717" w:rsidR="00DF32C4" w:rsidRDefault="00DF32C4" w:rsidP="00761263">
      <w:pPr>
        <w:spacing w:after="0" w:line="360" w:lineRule="auto"/>
        <w:jc w:val="both"/>
        <w:rPr>
          <w:rFonts w:ascii="Times New Roman" w:eastAsia="Times New Roman" w:hAnsi="Times New Roman" w:cs="Times New Roman"/>
          <w:bCs/>
          <w:noProof/>
          <w:sz w:val="24"/>
          <w:szCs w:val="24"/>
          <w:lang w:eastAsia="el-GR"/>
        </w:rPr>
      </w:pPr>
    </w:p>
    <w:p w14:paraId="5479EC97" w14:textId="64763186" w:rsidR="00045567" w:rsidRDefault="00045567" w:rsidP="00761263">
      <w:pPr>
        <w:spacing w:after="0" w:line="360" w:lineRule="auto"/>
        <w:jc w:val="both"/>
        <w:rPr>
          <w:rFonts w:ascii="Times New Roman" w:eastAsia="Times New Roman" w:hAnsi="Times New Roman" w:cs="Times New Roman"/>
          <w:bCs/>
          <w:noProof/>
          <w:sz w:val="24"/>
          <w:szCs w:val="24"/>
          <w:lang w:eastAsia="el-GR"/>
        </w:rPr>
      </w:pPr>
    </w:p>
    <w:p w14:paraId="2556C543" w14:textId="0CDA5E2E" w:rsidR="00045567" w:rsidRDefault="00045567" w:rsidP="00761263">
      <w:pPr>
        <w:spacing w:after="0" w:line="360" w:lineRule="auto"/>
        <w:jc w:val="both"/>
        <w:rPr>
          <w:rFonts w:ascii="Times New Roman" w:eastAsia="Times New Roman" w:hAnsi="Times New Roman" w:cs="Times New Roman"/>
          <w:bCs/>
          <w:noProof/>
          <w:sz w:val="24"/>
          <w:szCs w:val="24"/>
          <w:lang w:eastAsia="el-GR"/>
        </w:rPr>
      </w:pPr>
    </w:p>
    <w:p w14:paraId="305BBF16" w14:textId="4ABE878F" w:rsidR="00045567" w:rsidRDefault="00045567" w:rsidP="00761263">
      <w:pPr>
        <w:spacing w:after="0" w:line="360" w:lineRule="auto"/>
        <w:jc w:val="both"/>
        <w:rPr>
          <w:rFonts w:ascii="Times New Roman" w:eastAsia="Times New Roman" w:hAnsi="Times New Roman" w:cs="Times New Roman"/>
          <w:bCs/>
          <w:noProof/>
          <w:sz w:val="24"/>
          <w:szCs w:val="24"/>
          <w:lang w:eastAsia="el-GR"/>
        </w:rPr>
      </w:pPr>
    </w:p>
    <w:p w14:paraId="0A634741" w14:textId="77777777" w:rsidR="00045567" w:rsidRPr="00BA57E9" w:rsidRDefault="00045567" w:rsidP="00761263">
      <w:pPr>
        <w:spacing w:after="0" w:line="360" w:lineRule="auto"/>
        <w:jc w:val="both"/>
        <w:rPr>
          <w:rFonts w:ascii="Times New Roman" w:eastAsia="Times New Roman" w:hAnsi="Times New Roman" w:cs="Times New Roman"/>
          <w:bCs/>
          <w:noProof/>
          <w:sz w:val="24"/>
          <w:szCs w:val="24"/>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92"/>
        <w:gridCol w:w="2129"/>
        <w:gridCol w:w="2127"/>
        <w:gridCol w:w="2129"/>
        <w:gridCol w:w="1988"/>
      </w:tblGrid>
      <w:tr w:rsidR="00E207F2" w:rsidRPr="00E36734" w14:paraId="1EAE5640" w14:textId="77777777" w:rsidTr="00E207F2">
        <w:trPr>
          <w:trHeight w:val="528"/>
        </w:trPr>
        <w:tc>
          <w:tcPr>
            <w:tcW w:w="961" w:type="pct"/>
            <w:vMerge w:val="restart"/>
            <w:shd w:val="clear" w:color="auto" w:fill="FDEADA"/>
            <w:tcMar>
              <w:top w:w="12" w:type="dxa"/>
              <w:left w:w="12" w:type="dxa"/>
              <w:bottom w:w="0" w:type="dxa"/>
              <w:right w:w="12" w:type="dxa"/>
            </w:tcMar>
            <w:vAlign w:val="center"/>
            <w:hideMark/>
          </w:tcPr>
          <w:p w14:paraId="4E8ADE4A" w14:textId="620F4F95" w:rsidR="00E207F2" w:rsidRPr="00E36734" w:rsidRDefault="00BA57E9" w:rsidP="00BA57E9">
            <w:pPr>
              <w:spacing w:after="0" w:line="240" w:lineRule="auto"/>
              <w:jc w:val="center"/>
              <w:rPr>
                <w:rFonts w:eastAsia="Times New Roman" w:cstheme="minorHAnsi"/>
                <w:b/>
                <w:bCs/>
                <w:sz w:val="20"/>
                <w:szCs w:val="20"/>
              </w:rPr>
            </w:pPr>
            <w:r>
              <w:rPr>
                <w:rFonts w:eastAsia="Times New Roman" w:cstheme="minorHAnsi"/>
                <w:b/>
                <w:bCs/>
                <w:sz w:val="20"/>
                <w:szCs w:val="20"/>
              </w:rPr>
              <w:lastRenderedPageBreak/>
              <w:t>Πίνακας 4</w:t>
            </w:r>
          </w:p>
          <w:p w14:paraId="407EA615" w14:textId="77777777" w:rsidR="00E207F2" w:rsidRPr="00E36734" w:rsidRDefault="00E207F2" w:rsidP="00BA57E9">
            <w:pPr>
              <w:spacing w:after="0" w:line="240" w:lineRule="auto"/>
              <w:jc w:val="center"/>
              <w:rPr>
                <w:rFonts w:eastAsia="Times New Roman" w:cstheme="minorHAnsi"/>
                <w:b/>
                <w:bCs/>
                <w:sz w:val="20"/>
                <w:szCs w:val="20"/>
              </w:rPr>
            </w:pPr>
          </w:p>
          <w:p w14:paraId="4DE944B7" w14:textId="33BD511C" w:rsidR="00E207F2" w:rsidRPr="00C155D3" w:rsidRDefault="00E207F2" w:rsidP="00BA57E9">
            <w:pPr>
              <w:spacing w:after="0" w:line="240" w:lineRule="auto"/>
              <w:jc w:val="center"/>
              <w:rPr>
                <w:rFonts w:eastAsia="Times New Roman" w:cstheme="minorHAnsi"/>
                <w:sz w:val="18"/>
                <w:szCs w:val="18"/>
              </w:rPr>
            </w:pPr>
            <w:r>
              <w:rPr>
                <w:rFonts w:eastAsia="Times New Roman" w:cstheme="minorHAnsi"/>
                <w:sz w:val="18"/>
                <w:szCs w:val="18"/>
              </w:rPr>
              <w:t>Οι τιμές των αγαθών/υπηρεσιών το τελευταίο εξάμηνο:</w:t>
            </w:r>
          </w:p>
        </w:tc>
        <w:tc>
          <w:tcPr>
            <w:tcW w:w="3080" w:type="pct"/>
            <w:gridSpan w:val="3"/>
            <w:shd w:val="clear" w:color="auto" w:fill="FDEADA"/>
            <w:tcMar>
              <w:top w:w="12" w:type="dxa"/>
              <w:left w:w="12" w:type="dxa"/>
              <w:bottom w:w="0" w:type="dxa"/>
              <w:right w:w="12" w:type="dxa"/>
            </w:tcMar>
            <w:vAlign w:val="center"/>
            <w:hideMark/>
          </w:tcPr>
          <w:p w14:paraId="08FDEEC9" w14:textId="77777777" w:rsidR="00E207F2" w:rsidRPr="00E36734" w:rsidRDefault="00E207F2"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959" w:type="pct"/>
            <w:vMerge w:val="restart"/>
            <w:shd w:val="clear" w:color="auto" w:fill="FDEADA"/>
          </w:tcPr>
          <w:p w14:paraId="10BE4161"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p>
          <w:p w14:paraId="6DDEEE18"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p>
          <w:p w14:paraId="1C60EFFA"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p>
          <w:p w14:paraId="4DE31AF8"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Επιχειρήσεις </w:t>
            </w:r>
          </w:p>
          <w:p w14:paraId="1C8E6B12"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εστίασης</w:t>
            </w:r>
          </w:p>
        </w:tc>
      </w:tr>
      <w:tr w:rsidR="00E207F2" w:rsidRPr="00E36734" w14:paraId="7D5267F9" w14:textId="77777777" w:rsidTr="00396EBA">
        <w:trPr>
          <w:trHeight w:val="1183"/>
        </w:trPr>
        <w:tc>
          <w:tcPr>
            <w:tcW w:w="961" w:type="pct"/>
            <w:vMerge/>
            <w:shd w:val="clear" w:color="auto" w:fill="FDEADA"/>
            <w:tcMar>
              <w:top w:w="12" w:type="dxa"/>
              <w:left w:w="12" w:type="dxa"/>
              <w:bottom w:w="0" w:type="dxa"/>
              <w:right w:w="12" w:type="dxa"/>
            </w:tcMar>
            <w:vAlign w:val="center"/>
            <w:hideMark/>
          </w:tcPr>
          <w:p w14:paraId="212F9E62" w14:textId="77777777" w:rsidR="00E207F2" w:rsidRPr="00E36734" w:rsidRDefault="00E207F2" w:rsidP="00BA57E9">
            <w:pPr>
              <w:spacing w:after="0" w:line="240" w:lineRule="auto"/>
              <w:rPr>
                <w:rFonts w:eastAsia="Times New Roman" w:cstheme="minorHAnsi"/>
                <w:sz w:val="18"/>
                <w:szCs w:val="18"/>
              </w:rPr>
            </w:pPr>
          </w:p>
        </w:tc>
        <w:tc>
          <w:tcPr>
            <w:tcW w:w="1027" w:type="pct"/>
            <w:shd w:val="clear" w:color="auto" w:fill="FDEADA"/>
            <w:tcMar>
              <w:top w:w="12" w:type="dxa"/>
              <w:left w:w="12" w:type="dxa"/>
              <w:bottom w:w="0" w:type="dxa"/>
              <w:right w:w="12" w:type="dxa"/>
            </w:tcMar>
            <w:vAlign w:val="center"/>
            <w:hideMark/>
          </w:tcPr>
          <w:p w14:paraId="3ADBD3DE"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ανέστειλαν την </w:t>
            </w:r>
          </w:p>
          <w:p w14:paraId="1E5BC351"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δραστηριότητα τους </w:t>
            </w:r>
          </w:p>
          <w:p w14:paraId="4160C1D5" w14:textId="77777777" w:rsidR="00E207F2" w:rsidRPr="00E36734" w:rsidRDefault="00E207F2"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με κρατική εντολή</w:t>
            </w:r>
          </w:p>
        </w:tc>
        <w:tc>
          <w:tcPr>
            <w:tcW w:w="1026" w:type="pct"/>
            <w:shd w:val="clear" w:color="auto" w:fill="FDEADA"/>
            <w:tcMar>
              <w:top w:w="12" w:type="dxa"/>
              <w:left w:w="12" w:type="dxa"/>
              <w:bottom w:w="0" w:type="dxa"/>
              <w:right w:w="12" w:type="dxa"/>
            </w:tcMar>
            <w:vAlign w:val="center"/>
            <w:hideMark/>
          </w:tcPr>
          <w:p w14:paraId="37F8E631"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ανήκαν στις </w:t>
            </w:r>
          </w:p>
          <w:p w14:paraId="62A3A929"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πληττόμενες βάσει </w:t>
            </w:r>
          </w:p>
          <w:p w14:paraId="3B9D6F0C" w14:textId="77777777" w:rsidR="00E207F2" w:rsidRPr="00E36734" w:rsidRDefault="00E207F2"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ΚΑΔ επιχειρήσεις</w:t>
            </w:r>
          </w:p>
        </w:tc>
        <w:tc>
          <w:tcPr>
            <w:tcW w:w="1027" w:type="pct"/>
            <w:shd w:val="clear" w:color="auto" w:fill="FDEADA"/>
            <w:tcMar>
              <w:top w:w="12" w:type="dxa"/>
              <w:left w:w="12" w:type="dxa"/>
              <w:bottom w:w="0" w:type="dxa"/>
              <w:right w:w="12" w:type="dxa"/>
            </w:tcMar>
            <w:vAlign w:val="center"/>
            <w:hideMark/>
          </w:tcPr>
          <w:p w14:paraId="21BA0171" w14:textId="16DBB670" w:rsidR="00E207F2" w:rsidRPr="00E36734" w:rsidRDefault="00D17649" w:rsidP="00BA57E9">
            <w:pPr>
              <w:spacing w:after="0" w:line="240" w:lineRule="auto"/>
              <w:jc w:val="center"/>
              <w:textAlignment w:val="center"/>
              <w:rPr>
                <w:rFonts w:eastAsia="Microsoft JhengHei UI" w:cstheme="minorHAnsi"/>
                <w:color w:val="000000"/>
                <w:kern w:val="24"/>
                <w:sz w:val="18"/>
                <w:szCs w:val="18"/>
              </w:rPr>
            </w:pPr>
            <w:r>
              <w:rPr>
                <w:rFonts w:eastAsia="Microsoft JhengHei UI" w:cstheme="minorHAnsi"/>
                <w:color w:val="000000"/>
                <w:kern w:val="24"/>
                <w:sz w:val="18"/>
                <w:szCs w:val="18"/>
              </w:rPr>
              <w:t>δ</w:t>
            </w:r>
            <w:r w:rsidR="00E207F2" w:rsidRPr="00E36734">
              <w:rPr>
                <w:rFonts w:eastAsia="Microsoft JhengHei UI" w:cstheme="minorHAnsi"/>
                <w:color w:val="000000"/>
                <w:kern w:val="24"/>
                <w:sz w:val="18"/>
                <w:szCs w:val="18"/>
              </w:rPr>
              <w:t xml:space="preserve">εν ανήκαν σε καμία </w:t>
            </w:r>
          </w:p>
          <w:p w14:paraId="77D61CF8" w14:textId="77777777" w:rsidR="00E207F2" w:rsidRPr="00E36734" w:rsidRDefault="00E207F2" w:rsidP="00BA57E9">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από τις παρακείμενες κατηγορίες</w:t>
            </w:r>
          </w:p>
        </w:tc>
        <w:tc>
          <w:tcPr>
            <w:tcW w:w="959" w:type="pct"/>
            <w:vMerge/>
            <w:shd w:val="clear" w:color="auto" w:fill="FDEADA"/>
          </w:tcPr>
          <w:p w14:paraId="6C225CE3" w14:textId="77777777" w:rsidR="00E207F2" w:rsidRPr="00E36734" w:rsidRDefault="00E207F2" w:rsidP="00BA57E9">
            <w:pPr>
              <w:spacing w:after="0" w:line="240" w:lineRule="auto"/>
              <w:jc w:val="center"/>
              <w:textAlignment w:val="center"/>
              <w:rPr>
                <w:rFonts w:eastAsia="Microsoft JhengHei UI" w:cstheme="minorHAnsi"/>
                <w:color w:val="000000"/>
                <w:kern w:val="24"/>
                <w:sz w:val="18"/>
                <w:szCs w:val="18"/>
              </w:rPr>
            </w:pPr>
          </w:p>
        </w:tc>
      </w:tr>
      <w:tr w:rsidR="00E207F2" w:rsidRPr="00E36734" w14:paraId="3AE20CD8" w14:textId="77777777" w:rsidTr="00396EBA">
        <w:trPr>
          <w:trHeight w:val="528"/>
        </w:trPr>
        <w:tc>
          <w:tcPr>
            <w:tcW w:w="961" w:type="pct"/>
            <w:shd w:val="clear" w:color="auto" w:fill="FFFFFF"/>
            <w:tcMar>
              <w:top w:w="12" w:type="dxa"/>
              <w:left w:w="12" w:type="dxa"/>
              <w:bottom w:w="0" w:type="dxa"/>
              <w:right w:w="12" w:type="dxa"/>
            </w:tcMar>
            <w:vAlign w:val="center"/>
            <w:hideMark/>
          </w:tcPr>
          <w:p w14:paraId="5D6BB0DE" w14:textId="70E4403F" w:rsidR="00E207F2" w:rsidRPr="00C155D3" w:rsidRDefault="00E207F2" w:rsidP="00BA57E9">
            <w:pPr>
              <w:spacing w:before="240" w:line="240" w:lineRule="auto"/>
              <w:textAlignment w:val="bottom"/>
              <w:rPr>
                <w:rFonts w:eastAsia="Times New Roman" w:cstheme="minorHAnsi"/>
                <w:sz w:val="18"/>
                <w:szCs w:val="18"/>
                <w:lang w:val="en-US"/>
              </w:rPr>
            </w:pPr>
            <w:r>
              <w:rPr>
                <w:rFonts w:eastAsia="Microsoft JhengHei UI" w:cstheme="minorHAnsi"/>
                <w:color w:val="000000"/>
                <w:kern w:val="24"/>
                <w:sz w:val="18"/>
                <w:szCs w:val="18"/>
              </w:rPr>
              <w:t>Αυξήθηκαν</w:t>
            </w:r>
          </w:p>
        </w:tc>
        <w:tc>
          <w:tcPr>
            <w:tcW w:w="1027" w:type="pct"/>
            <w:shd w:val="clear" w:color="auto" w:fill="FFFFFF"/>
            <w:tcMar>
              <w:top w:w="12" w:type="dxa"/>
              <w:left w:w="12" w:type="dxa"/>
              <w:bottom w:w="0" w:type="dxa"/>
              <w:right w:w="12" w:type="dxa"/>
            </w:tcMar>
            <w:hideMark/>
          </w:tcPr>
          <w:p w14:paraId="076D26C5" w14:textId="46B751DF"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17,4</w:t>
            </w:r>
          </w:p>
        </w:tc>
        <w:tc>
          <w:tcPr>
            <w:tcW w:w="1026" w:type="pct"/>
            <w:shd w:val="clear" w:color="auto" w:fill="FFFFFF"/>
            <w:tcMar>
              <w:top w:w="12" w:type="dxa"/>
              <w:left w:w="12" w:type="dxa"/>
              <w:bottom w:w="0" w:type="dxa"/>
              <w:right w:w="12" w:type="dxa"/>
            </w:tcMar>
            <w:hideMark/>
          </w:tcPr>
          <w:p w14:paraId="0174F92F" w14:textId="576D83D8"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21,8</w:t>
            </w:r>
          </w:p>
        </w:tc>
        <w:tc>
          <w:tcPr>
            <w:tcW w:w="1027" w:type="pct"/>
            <w:shd w:val="clear" w:color="auto" w:fill="FFFFFF"/>
            <w:tcMar>
              <w:top w:w="12" w:type="dxa"/>
              <w:left w:w="12" w:type="dxa"/>
              <w:bottom w:w="0" w:type="dxa"/>
              <w:right w:w="12" w:type="dxa"/>
            </w:tcMar>
            <w:hideMark/>
          </w:tcPr>
          <w:p w14:paraId="7F883A97" w14:textId="37C888D2"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31,4</w:t>
            </w:r>
          </w:p>
        </w:tc>
        <w:tc>
          <w:tcPr>
            <w:tcW w:w="959" w:type="pct"/>
            <w:shd w:val="clear" w:color="auto" w:fill="FFFFFF"/>
          </w:tcPr>
          <w:p w14:paraId="283CADBE" w14:textId="7E1B5EF1" w:rsidR="00E207F2" w:rsidRPr="0029472A" w:rsidRDefault="00E207F2" w:rsidP="00BA57E9">
            <w:pPr>
              <w:spacing w:before="240" w:line="240" w:lineRule="auto"/>
              <w:jc w:val="center"/>
              <w:textAlignment w:val="center"/>
              <w:rPr>
                <w:rFonts w:eastAsia="Microsoft JhengHei UI" w:cstheme="minorHAnsi"/>
                <w:color w:val="000000"/>
                <w:kern w:val="24"/>
                <w:sz w:val="20"/>
                <w:szCs w:val="20"/>
              </w:rPr>
            </w:pPr>
            <w:r>
              <w:rPr>
                <w:sz w:val="20"/>
                <w:szCs w:val="20"/>
              </w:rPr>
              <w:t>6,2</w:t>
            </w:r>
          </w:p>
        </w:tc>
      </w:tr>
      <w:tr w:rsidR="00E207F2" w:rsidRPr="00E36734" w14:paraId="09CF20E3" w14:textId="77777777" w:rsidTr="00396EBA">
        <w:trPr>
          <w:trHeight w:val="528"/>
        </w:trPr>
        <w:tc>
          <w:tcPr>
            <w:tcW w:w="961" w:type="pct"/>
            <w:shd w:val="clear" w:color="auto" w:fill="FFFFFF"/>
            <w:tcMar>
              <w:top w:w="12" w:type="dxa"/>
              <w:left w:w="12" w:type="dxa"/>
              <w:bottom w:w="0" w:type="dxa"/>
              <w:right w:w="12" w:type="dxa"/>
            </w:tcMar>
            <w:vAlign w:val="center"/>
            <w:hideMark/>
          </w:tcPr>
          <w:p w14:paraId="0D138480" w14:textId="7693FE4D" w:rsidR="00E207F2" w:rsidRPr="00C155D3" w:rsidRDefault="00E207F2" w:rsidP="00BA57E9">
            <w:pPr>
              <w:spacing w:before="240" w:line="240" w:lineRule="auto"/>
              <w:textAlignment w:val="bottom"/>
              <w:rPr>
                <w:rFonts w:eastAsia="Times New Roman" w:cstheme="minorHAnsi"/>
                <w:sz w:val="18"/>
                <w:szCs w:val="18"/>
                <w:lang w:val="en-US"/>
              </w:rPr>
            </w:pPr>
            <w:r>
              <w:rPr>
                <w:rFonts w:eastAsia="Microsoft JhengHei UI" w:cstheme="minorHAnsi"/>
                <w:color w:val="000000"/>
                <w:kern w:val="24"/>
                <w:sz w:val="18"/>
                <w:szCs w:val="18"/>
              </w:rPr>
              <w:t>Μειώθηκαν</w:t>
            </w:r>
            <w:r w:rsidRPr="00E36734">
              <w:rPr>
                <w:rFonts w:eastAsia="Microsoft JhengHei UI" w:cstheme="minorHAnsi"/>
                <w:color w:val="000000"/>
                <w:kern w:val="24"/>
                <w:sz w:val="18"/>
                <w:szCs w:val="18"/>
              </w:rPr>
              <w:t xml:space="preserve"> </w:t>
            </w:r>
          </w:p>
        </w:tc>
        <w:tc>
          <w:tcPr>
            <w:tcW w:w="1027" w:type="pct"/>
            <w:shd w:val="clear" w:color="auto" w:fill="FFFFFF"/>
            <w:tcMar>
              <w:top w:w="12" w:type="dxa"/>
              <w:left w:w="12" w:type="dxa"/>
              <w:bottom w:w="0" w:type="dxa"/>
              <w:right w:w="12" w:type="dxa"/>
            </w:tcMar>
            <w:hideMark/>
          </w:tcPr>
          <w:p w14:paraId="40CEE7A9" w14:textId="20DC14B4"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18,8</w:t>
            </w:r>
          </w:p>
        </w:tc>
        <w:tc>
          <w:tcPr>
            <w:tcW w:w="1026" w:type="pct"/>
            <w:shd w:val="clear" w:color="auto" w:fill="FFFFFF"/>
            <w:tcMar>
              <w:top w:w="12" w:type="dxa"/>
              <w:left w:w="12" w:type="dxa"/>
              <w:bottom w:w="0" w:type="dxa"/>
              <w:right w:w="12" w:type="dxa"/>
            </w:tcMar>
            <w:hideMark/>
          </w:tcPr>
          <w:p w14:paraId="5C9A0AF8" w14:textId="2C028B3D"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21,2</w:t>
            </w:r>
          </w:p>
        </w:tc>
        <w:tc>
          <w:tcPr>
            <w:tcW w:w="1027" w:type="pct"/>
            <w:shd w:val="clear" w:color="auto" w:fill="FFFFFF"/>
            <w:tcMar>
              <w:top w:w="12" w:type="dxa"/>
              <w:left w:w="12" w:type="dxa"/>
              <w:bottom w:w="0" w:type="dxa"/>
              <w:right w:w="12" w:type="dxa"/>
            </w:tcMar>
            <w:hideMark/>
          </w:tcPr>
          <w:p w14:paraId="1CA3BE5D" w14:textId="3AD9FD0B"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9,4</w:t>
            </w:r>
          </w:p>
        </w:tc>
        <w:tc>
          <w:tcPr>
            <w:tcW w:w="959" w:type="pct"/>
            <w:shd w:val="clear" w:color="auto" w:fill="FFFFFF"/>
          </w:tcPr>
          <w:p w14:paraId="50CAA956" w14:textId="540F8D86" w:rsidR="00E207F2" w:rsidRPr="0029472A" w:rsidRDefault="00E207F2" w:rsidP="00BA57E9">
            <w:pPr>
              <w:spacing w:before="240" w:line="240" w:lineRule="auto"/>
              <w:jc w:val="center"/>
              <w:textAlignment w:val="center"/>
              <w:rPr>
                <w:rFonts w:eastAsia="Microsoft JhengHei UI" w:cstheme="minorHAnsi"/>
                <w:color w:val="000000"/>
                <w:kern w:val="24"/>
                <w:sz w:val="20"/>
                <w:szCs w:val="20"/>
              </w:rPr>
            </w:pPr>
            <w:r>
              <w:rPr>
                <w:sz w:val="20"/>
                <w:szCs w:val="20"/>
              </w:rPr>
              <w:t>12,4</w:t>
            </w:r>
          </w:p>
        </w:tc>
      </w:tr>
      <w:tr w:rsidR="00E207F2" w:rsidRPr="00E36734" w14:paraId="2C5B69D4" w14:textId="77777777" w:rsidTr="00396EBA">
        <w:trPr>
          <w:trHeight w:val="528"/>
        </w:trPr>
        <w:tc>
          <w:tcPr>
            <w:tcW w:w="961" w:type="pct"/>
            <w:shd w:val="clear" w:color="auto" w:fill="FFFFFF"/>
            <w:tcMar>
              <w:top w:w="12" w:type="dxa"/>
              <w:left w:w="12" w:type="dxa"/>
              <w:bottom w:w="0" w:type="dxa"/>
              <w:right w:w="12" w:type="dxa"/>
            </w:tcMar>
            <w:vAlign w:val="center"/>
            <w:hideMark/>
          </w:tcPr>
          <w:p w14:paraId="6A2D535E" w14:textId="4B9D27EF" w:rsidR="00E207F2" w:rsidRPr="00E207F2" w:rsidRDefault="00E207F2" w:rsidP="00BA57E9">
            <w:pPr>
              <w:spacing w:before="240" w:line="240" w:lineRule="auto"/>
              <w:textAlignment w:val="bottom"/>
              <w:rPr>
                <w:rFonts w:eastAsia="Times New Roman" w:cstheme="minorHAnsi"/>
                <w:sz w:val="18"/>
                <w:szCs w:val="18"/>
              </w:rPr>
            </w:pPr>
            <w:r>
              <w:rPr>
                <w:rFonts w:eastAsia="Times New Roman" w:cstheme="minorHAnsi"/>
                <w:sz w:val="18"/>
                <w:szCs w:val="18"/>
              </w:rPr>
              <w:t>Παρέμειναν αμετάβλητες</w:t>
            </w:r>
          </w:p>
        </w:tc>
        <w:tc>
          <w:tcPr>
            <w:tcW w:w="1027" w:type="pct"/>
            <w:shd w:val="clear" w:color="auto" w:fill="FFFFFF"/>
            <w:tcMar>
              <w:top w:w="12" w:type="dxa"/>
              <w:left w:w="12" w:type="dxa"/>
              <w:bottom w:w="0" w:type="dxa"/>
              <w:right w:w="12" w:type="dxa"/>
            </w:tcMar>
            <w:hideMark/>
          </w:tcPr>
          <w:p w14:paraId="67E4321C" w14:textId="44861E27"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61,2</w:t>
            </w:r>
          </w:p>
        </w:tc>
        <w:tc>
          <w:tcPr>
            <w:tcW w:w="1026" w:type="pct"/>
            <w:shd w:val="clear" w:color="auto" w:fill="FFFFFF"/>
            <w:tcMar>
              <w:top w:w="12" w:type="dxa"/>
              <w:left w:w="12" w:type="dxa"/>
              <w:bottom w:w="0" w:type="dxa"/>
              <w:right w:w="12" w:type="dxa"/>
            </w:tcMar>
            <w:hideMark/>
          </w:tcPr>
          <w:p w14:paraId="38634AC4" w14:textId="4D080288"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56,6</w:t>
            </w:r>
          </w:p>
        </w:tc>
        <w:tc>
          <w:tcPr>
            <w:tcW w:w="1027" w:type="pct"/>
            <w:shd w:val="clear" w:color="auto" w:fill="FFFFFF"/>
            <w:tcMar>
              <w:top w:w="12" w:type="dxa"/>
              <w:left w:w="12" w:type="dxa"/>
              <w:bottom w:w="0" w:type="dxa"/>
              <w:right w:w="12" w:type="dxa"/>
            </w:tcMar>
            <w:hideMark/>
          </w:tcPr>
          <w:p w14:paraId="54381EF0" w14:textId="228B8E01" w:rsidR="00E207F2" w:rsidRPr="0029472A" w:rsidRDefault="00E207F2" w:rsidP="00BA57E9">
            <w:pPr>
              <w:spacing w:before="240" w:line="240" w:lineRule="auto"/>
              <w:jc w:val="center"/>
              <w:textAlignment w:val="center"/>
              <w:rPr>
                <w:rFonts w:eastAsia="Times New Roman" w:cstheme="minorHAnsi"/>
                <w:sz w:val="20"/>
                <w:szCs w:val="20"/>
                <w:lang w:val="en-US"/>
              </w:rPr>
            </w:pPr>
            <w:r>
              <w:rPr>
                <w:sz w:val="20"/>
                <w:szCs w:val="20"/>
              </w:rPr>
              <w:t>58</w:t>
            </w:r>
          </w:p>
        </w:tc>
        <w:tc>
          <w:tcPr>
            <w:tcW w:w="959" w:type="pct"/>
            <w:shd w:val="clear" w:color="auto" w:fill="FFFFFF"/>
          </w:tcPr>
          <w:p w14:paraId="0807BFF2" w14:textId="7A8F6045" w:rsidR="00E207F2" w:rsidRPr="0029472A" w:rsidRDefault="00E207F2" w:rsidP="00BA57E9">
            <w:pPr>
              <w:spacing w:before="240" w:line="240" w:lineRule="auto"/>
              <w:jc w:val="center"/>
              <w:textAlignment w:val="center"/>
              <w:rPr>
                <w:rFonts w:eastAsia="Microsoft JhengHei UI" w:cstheme="minorHAnsi"/>
                <w:color w:val="000000"/>
                <w:kern w:val="24"/>
                <w:sz w:val="20"/>
                <w:szCs w:val="20"/>
              </w:rPr>
            </w:pPr>
            <w:r>
              <w:rPr>
                <w:sz w:val="20"/>
                <w:szCs w:val="20"/>
              </w:rPr>
              <w:t>79,4</w:t>
            </w:r>
          </w:p>
        </w:tc>
      </w:tr>
      <w:tr w:rsidR="00E207F2" w:rsidRPr="00E36734" w14:paraId="6AD6BBD4" w14:textId="77777777" w:rsidTr="00396EBA">
        <w:trPr>
          <w:trHeight w:val="528"/>
        </w:trPr>
        <w:tc>
          <w:tcPr>
            <w:tcW w:w="961" w:type="pct"/>
            <w:shd w:val="clear" w:color="auto" w:fill="FFFFFF"/>
            <w:tcMar>
              <w:top w:w="12" w:type="dxa"/>
              <w:left w:w="12" w:type="dxa"/>
              <w:bottom w:w="0" w:type="dxa"/>
              <w:right w:w="12" w:type="dxa"/>
            </w:tcMar>
            <w:vAlign w:val="center"/>
          </w:tcPr>
          <w:p w14:paraId="49F7A55C" w14:textId="2740EC7C" w:rsidR="00E207F2" w:rsidRPr="00C155D3" w:rsidRDefault="00E207F2" w:rsidP="00BA57E9">
            <w:pPr>
              <w:spacing w:before="240" w:line="240" w:lineRule="auto"/>
              <w:textAlignment w:val="bottom"/>
              <w:rPr>
                <w:rFonts w:eastAsia="Microsoft JhengHei UI" w:cstheme="minorHAnsi"/>
                <w:color w:val="000000"/>
                <w:kern w:val="24"/>
                <w:sz w:val="18"/>
                <w:szCs w:val="18"/>
              </w:rPr>
            </w:pPr>
            <w:r>
              <w:rPr>
                <w:rFonts w:eastAsia="Microsoft JhengHei UI" w:cstheme="minorHAnsi"/>
                <w:color w:val="000000"/>
                <w:kern w:val="24"/>
                <w:sz w:val="18"/>
                <w:szCs w:val="18"/>
              </w:rPr>
              <w:t>Δ.Γ./Δ.Α.</w:t>
            </w:r>
          </w:p>
        </w:tc>
        <w:tc>
          <w:tcPr>
            <w:tcW w:w="1027" w:type="pct"/>
            <w:shd w:val="clear" w:color="auto" w:fill="FFFFFF"/>
            <w:tcMar>
              <w:top w:w="12" w:type="dxa"/>
              <w:left w:w="12" w:type="dxa"/>
              <w:bottom w:w="0" w:type="dxa"/>
              <w:right w:w="12" w:type="dxa"/>
            </w:tcMar>
          </w:tcPr>
          <w:p w14:paraId="3C8F8EDE" w14:textId="57D7015C" w:rsidR="00E207F2" w:rsidRPr="0029472A" w:rsidRDefault="00E207F2" w:rsidP="00BA57E9">
            <w:pPr>
              <w:spacing w:before="240" w:line="240" w:lineRule="auto"/>
              <w:jc w:val="center"/>
              <w:textAlignment w:val="center"/>
              <w:rPr>
                <w:rFonts w:eastAsia="Microsoft JhengHei UI" w:cstheme="minorHAnsi"/>
                <w:color w:val="000000"/>
                <w:kern w:val="24"/>
                <w:sz w:val="20"/>
                <w:szCs w:val="20"/>
                <w:lang w:val="en-US"/>
              </w:rPr>
            </w:pPr>
            <w:r>
              <w:rPr>
                <w:sz w:val="20"/>
                <w:szCs w:val="20"/>
              </w:rPr>
              <w:t>2,7</w:t>
            </w:r>
          </w:p>
        </w:tc>
        <w:tc>
          <w:tcPr>
            <w:tcW w:w="1026" w:type="pct"/>
            <w:shd w:val="clear" w:color="auto" w:fill="FFFFFF"/>
            <w:tcMar>
              <w:top w:w="12" w:type="dxa"/>
              <w:left w:w="12" w:type="dxa"/>
              <w:bottom w:w="0" w:type="dxa"/>
              <w:right w:w="12" w:type="dxa"/>
            </w:tcMar>
          </w:tcPr>
          <w:p w14:paraId="6A68A952" w14:textId="2112D38C" w:rsidR="00E207F2" w:rsidRPr="0029472A" w:rsidRDefault="00E207F2" w:rsidP="00BA57E9">
            <w:pPr>
              <w:spacing w:before="240" w:line="240" w:lineRule="auto"/>
              <w:jc w:val="center"/>
              <w:textAlignment w:val="center"/>
              <w:rPr>
                <w:rFonts w:eastAsia="Microsoft JhengHei UI" w:cstheme="minorHAnsi"/>
                <w:color w:val="000000"/>
                <w:kern w:val="24"/>
                <w:sz w:val="20"/>
                <w:szCs w:val="20"/>
                <w:lang w:val="en-US"/>
              </w:rPr>
            </w:pPr>
            <w:r>
              <w:rPr>
                <w:sz w:val="20"/>
                <w:szCs w:val="20"/>
              </w:rPr>
              <w:t>0,3</w:t>
            </w:r>
          </w:p>
        </w:tc>
        <w:tc>
          <w:tcPr>
            <w:tcW w:w="1027" w:type="pct"/>
            <w:shd w:val="clear" w:color="auto" w:fill="FFFFFF"/>
            <w:tcMar>
              <w:top w:w="12" w:type="dxa"/>
              <w:left w:w="12" w:type="dxa"/>
              <w:bottom w:w="0" w:type="dxa"/>
              <w:right w:w="12" w:type="dxa"/>
            </w:tcMar>
          </w:tcPr>
          <w:p w14:paraId="4C34A45A" w14:textId="0442B859" w:rsidR="00E207F2" w:rsidRPr="0029472A" w:rsidRDefault="00E207F2" w:rsidP="00BA57E9">
            <w:pPr>
              <w:spacing w:before="240" w:line="240" w:lineRule="auto"/>
              <w:jc w:val="center"/>
              <w:textAlignment w:val="center"/>
              <w:rPr>
                <w:rFonts w:eastAsia="Microsoft JhengHei UI" w:cstheme="minorHAnsi"/>
                <w:color w:val="000000"/>
                <w:kern w:val="24"/>
                <w:sz w:val="20"/>
                <w:szCs w:val="20"/>
                <w:lang w:val="en-US"/>
              </w:rPr>
            </w:pPr>
            <w:r>
              <w:rPr>
                <w:sz w:val="20"/>
                <w:szCs w:val="20"/>
              </w:rPr>
              <w:t>1,2</w:t>
            </w:r>
          </w:p>
        </w:tc>
        <w:tc>
          <w:tcPr>
            <w:tcW w:w="959" w:type="pct"/>
            <w:shd w:val="clear" w:color="auto" w:fill="FFFFFF"/>
          </w:tcPr>
          <w:p w14:paraId="1A91EA50" w14:textId="35A8328B" w:rsidR="00E207F2" w:rsidRPr="0029472A" w:rsidRDefault="00E207F2" w:rsidP="00BA57E9">
            <w:pPr>
              <w:spacing w:before="240" w:line="240" w:lineRule="auto"/>
              <w:jc w:val="center"/>
              <w:textAlignment w:val="center"/>
              <w:rPr>
                <w:rFonts w:eastAsia="Microsoft JhengHei UI" w:cstheme="minorHAnsi"/>
                <w:color w:val="000000"/>
                <w:kern w:val="24"/>
                <w:sz w:val="20"/>
                <w:szCs w:val="20"/>
              </w:rPr>
            </w:pPr>
            <w:r>
              <w:rPr>
                <w:sz w:val="20"/>
                <w:szCs w:val="20"/>
              </w:rPr>
              <w:t>2,1</w:t>
            </w:r>
          </w:p>
        </w:tc>
      </w:tr>
    </w:tbl>
    <w:p w14:paraId="5AD5244E" w14:textId="77777777" w:rsidR="009A0452" w:rsidRDefault="009A0452" w:rsidP="00396EBA">
      <w:pPr>
        <w:spacing w:after="0" w:line="360" w:lineRule="auto"/>
        <w:jc w:val="both"/>
        <w:rPr>
          <w:rFonts w:ascii="Times New Roman" w:hAnsi="Times New Roman" w:cs="Times New Roman"/>
          <w:sz w:val="24"/>
          <w:szCs w:val="24"/>
          <w:highlight w:val="yellow"/>
        </w:rPr>
      </w:pPr>
    </w:p>
    <w:p w14:paraId="5F45F920" w14:textId="552B32DB" w:rsidR="002F07FA" w:rsidRPr="00372EFC" w:rsidRDefault="009A0452" w:rsidP="002F07FA">
      <w:pPr>
        <w:spacing w:after="0" w:line="360" w:lineRule="auto"/>
        <w:jc w:val="both"/>
        <w:rPr>
          <w:rFonts w:ascii="Times New Roman" w:hAnsi="Times New Roman" w:cs="Times New Roman"/>
          <w:sz w:val="24"/>
          <w:szCs w:val="24"/>
        </w:rPr>
      </w:pPr>
      <w:r w:rsidRPr="00372EFC">
        <w:rPr>
          <w:rFonts w:ascii="Times New Roman" w:hAnsi="Times New Roman" w:cs="Times New Roman"/>
          <w:sz w:val="24"/>
          <w:szCs w:val="24"/>
        </w:rPr>
        <w:t xml:space="preserve">Τα ευρήματα της </w:t>
      </w:r>
      <w:r w:rsidR="00BB668D" w:rsidRPr="00372EFC">
        <w:rPr>
          <w:rFonts w:ascii="Times New Roman" w:hAnsi="Times New Roman" w:cs="Times New Roman"/>
          <w:sz w:val="24"/>
          <w:szCs w:val="24"/>
        </w:rPr>
        <w:t>έρευνας</w:t>
      </w:r>
      <w:r w:rsidRPr="00372EFC">
        <w:rPr>
          <w:rFonts w:ascii="Times New Roman" w:hAnsi="Times New Roman" w:cs="Times New Roman"/>
          <w:sz w:val="24"/>
          <w:szCs w:val="24"/>
        </w:rPr>
        <w:t xml:space="preserve"> </w:t>
      </w:r>
      <w:r w:rsidR="00BB668D" w:rsidRPr="00372EFC">
        <w:rPr>
          <w:rFonts w:ascii="Times New Roman" w:hAnsi="Times New Roman" w:cs="Times New Roman"/>
          <w:sz w:val="24"/>
          <w:szCs w:val="24"/>
        </w:rPr>
        <w:t>συμβαδίζουν</w:t>
      </w:r>
      <w:r w:rsidRPr="00372EFC">
        <w:rPr>
          <w:rFonts w:ascii="Times New Roman" w:hAnsi="Times New Roman" w:cs="Times New Roman"/>
          <w:sz w:val="24"/>
          <w:szCs w:val="24"/>
        </w:rPr>
        <w:t xml:space="preserve"> με τα στοιχεία της ΕΛΣΤΑΤ </w:t>
      </w:r>
      <w:r w:rsidR="00BB668D" w:rsidRPr="00372EFC">
        <w:rPr>
          <w:rFonts w:ascii="Times New Roman" w:hAnsi="Times New Roman" w:cs="Times New Roman"/>
          <w:sz w:val="24"/>
          <w:szCs w:val="24"/>
        </w:rPr>
        <w:t>όπου ο Γενικός Δείκτης Τιμών Καταναλωτή</w:t>
      </w:r>
      <w:r w:rsidR="00BB668D" w:rsidRPr="00372EFC">
        <w:rPr>
          <w:rStyle w:val="ae"/>
          <w:rFonts w:ascii="Times New Roman" w:hAnsi="Times New Roman" w:cs="Times New Roman"/>
          <w:sz w:val="24"/>
          <w:szCs w:val="24"/>
        </w:rPr>
        <w:footnoteReference w:id="3"/>
      </w:r>
      <w:r w:rsidR="00BB668D" w:rsidRPr="00372EFC">
        <w:rPr>
          <w:rFonts w:ascii="Times New Roman" w:hAnsi="Times New Roman" w:cs="Times New Roman"/>
          <w:sz w:val="24"/>
          <w:szCs w:val="24"/>
        </w:rPr>
        <w:t xml:space="preserve"> σημείωσε άνοδο κατά</w:t>
      </w:r>
      <w:r w:rsidR="00372EFC">
        <w:rPr>
          <w:rFonts w:ascii="Times New Roman" w:hAnsi="Times New Roman" w:cs="Times New Roman"/>
          <w:sz w:val="24"/>
          <w:szCs w:val="24"/>
        </w:rPr>
        <w:t xml:space="preserve"> 1,4</w:t>
      </w:r>
      <w:r w:rsidR="00372EFC" w:rsidRPr="00372EFC">
        <w:rPr>
          <w:rFonts w:ascii="Times New Roman" w:hAnsi="Times New Roman" w:cs="Times New Roman"/>
          <w:sz w:val="24"/>
          <w:szCs w:val="24"/>
        </w:rPr>
        <w:t>%</w:t>
      </w:r>
      <w:r w:rsidR="002F07FA" w:rsidRPr="00372EFC">
        <w:rPr>
          <w:rFonts w:ascii="Times New Roman" w:hAnsi="Times New Roman" w:cs="Times New Roman"/>
          <w:sz w:val="24"/>
          <w:szCs w:val="24"/>
        </w:rPr>
        <w:t xml:space="preserve">, η οποία προέρχεται κυρίως από τις αυξήσεις σε είδη διατροφής (1,7%), στη στέγαση (4,2%) και στις μεταφορές (5,8%). Οι αυξήσεις είναι </w:t>
      </w:r>
      <w:r w:rsidR="00372EFC" w:rsidRPr="00372EFC">
        <w:rPr>
          <w:rFonts w:ascii="Times New Roman" w:hAnsi="Times New Roman" w:cs="Times New Roman"/>
          <w:sz w:val="24"/>
          <w:szCs w:val="24"/>
        </w:rPr>
        <w:t xml:space="preserve">σημαντικά μεγαλύτερες </w:t>
      </w:r>
      <w:r w:rsidR="002F07FA" w:rsidRPr="00372EFC">
        <w:rPr>
          <w:rFonts w:ascii="Times New Roman" w:hAnsi="Times New Roman" w:cs="Times New Roman"/>
          <w:sz w:val="24"/>
          <w:szCs w:val="24"/>
        </w:rPr>
        <w:t>στο φυσικό αέριο (72,3%), σε καύσιμα και λιπαν</w:t>
      </w:r>
      <w:r w:rsidR="00372EFC" w:rsidRPr="00372EFC">
        <w:rPr>
          <w:rFonts w:ascii="Times New Roman" w:hAnsi="Times New Roman" w:cs="Times New Roman"/>
          <w:sz w:val="24"/>
          <w:szCs w:val="24"/>
        </w:rPr>
        <w:t>τικά (16,6%) και στο</w:t>
      </w:r>
      <w:r w:rsidR="002F07FA" w:rsidRPr="00372EFC">
        <w:rPr>
          <w:rFonts w:ascii="Times New Roman" w:hAnsi="Times New Roman" w:cs="Times New Roman"/>
          <w:sz w:val="24"/>
          <w:szCs w:val="24"/>
        </w:rPr>
        <w:t xml:space="preserve"> πετρέλαιο θέρμανσης (28,9%). </w:t>
      </w:r>
    </w:p>
    <w:p w14:paraId="70C9827B" w14:textId="216CF54A" w:rsidR="002F07FA" w:rsidRPr="001E72BC" w:rsidRDefault="00FD43D0" w:rsidP="002F07FA">
      <w:pPr>
        <w:spacing w:after="0" w:line="360" w:lineRule="auto"/>
        <w:jc w:val="both"/>
        <w:rPr>
          <w:rFonts w:ascii="Times New Roman" w:hAnsi="Times New Roman" w:cs="Times New Roman"/>
          <w:sz w:val="24"/>
          <w:szCs w:val="24"/>
        </w:rPr>
      </w:pPr>
      <w:r w:rsidRPr="00FD43D0">
        <w:rPr>
          <w:rFonts w:ascii="Times New Roman" w:hAnsi="Times New Roman" w:cs="Times New Roman"/>
          <w:sz w:val="24"/>
          <w:szCs w:val="24"/>
        </w:rPr>
        <w:t>Επιπλέον,</w:t>
      </w:r>
      <w:r w:rsidR="002F07FA" w:rsidRPr="00FD43D0">
        <w:rPr>
          <w:rFonts w:ascii="Times New Roman" w:hAnsi="Times New Roman" w:cs="Times New Roman"/>
          <w:sz w:val="24"/>
          <w:szCs w:val="24"/>
        </w:rPr>
        <w:t xml:space="preserve"> αύξηση 13% σημείωσε ο γενικός δείκτης τιμών παραγωγού στη βιομηχανία</w:t>
      </w:r>
      <w:r w:rsidRPr="00FD43D0">
        <w:rPr>
          <w:rStyle w:val="ae"/>
          <w:rFonts w:ascii="Times New Roman" w:hAnsi="Times New Roman" w:cs="Times New Roman"/>
          <w:sz w:val="24"/>
          <w:szCs w:val="24"/>
        </w:rPr>
        <w:footnoteReference w:id="4"/>
      </w:r>
      <w:r w:rsidR="002F07FA" w:rsidRPr="00FD43D0">
        <w:rPr>
          <w:rFonts w:ascii="Times New Roman" w:hAnsi="Times New Roman" w:cs="Times New Roman"/>
          <w:sz w:val="24"/>
          <w:szCs w:val="24"/>
        </w:rPr>
        <w:t xml:space="preserve"> τον Ιούλιο </w:t>
      </w:r>
      <w:r w:rsidRPr="00FD43D0">
        <w:rPr>
          <w:rFonts w:ascii="Times New Roman" w:hAnsi="Times New Roman" w:cs="Times New Roman"/>
          <w:sz w:val="24"/>
          <w:szCs w:val="24"/>
        </w:rPr>
        <w:t>του 2021</w:t>
      </w:r>
      <w:r w:rsidR="002F07FA" w:rsidRPr="00FD43D0">
        <w:rPr>
          <w:rFonts w:ascii="Times New Roman" w:hAnsi="Times New Roman" w:cs="Times New Roman"/>
          <w:sz w:val="24"/>
          <w:szCs w:val="24"/>
        </w:rPr>
        <w:t xml:space="preserve"> σε σύγκριση με τον αντίστοιχο δείκτη του Ιουλίου 2020, έναντι μείωσης 7,9% που σημειώθηκε κατά την αντίστοιχη σύγκριση </w:t>
      </w:r>
      <w:r w:rsidRPr="00FD43D0">
        <w:rPr>
          <w:rFonts w:ascii="Times New Roman" w:hAnsi="Times New Roman" w:cs="Times New Roman"/>
          <w:sz w:val="24"/>
          <w:szCs w:val="24"/>
        </w:rPr>
        <w:t>των δεικτών το 2020 με το 2019. Η σοβαρή</w:t>
      </w:r>
      <w:r w:rsidR="002F07FA" w:rsidRPr="00FD43D0">
        <w:rPr>
          <w:rFonts w:ascii="Times New Roman" w:hAnsi="Times New Roman" w:cs="Times New Roman"/>
          <w:sz w:val="24"/>
          <w:szCs w:val="24"/>
        </w:rPr>
        <w:t xml:space="preserve"> αυτή άνοδος στο κόστος παραγωγής οφείλεται</w:t>
      </w:r>
      <w:r w:rsidRPr="00FD43D0">
        <w:rPr>
          <w:rFonts w:ascii="Times New Roman" w:hAnsi="Times New Roman" w:cs="Times New Roman"/>
          <w:sz w:val="24"/>
          <w:szCs w:val="24"/>
        </w:rPr>
        <w:t>: α) σ</w:t>
      </w:r>
      <w:r w:rsidR="002F07FA" w:rsidRPr="00FD43D0">
        <w:rPr>
          <w:rFonts w:ascii="Times New Roman" w:hAnsi="Times New Roman" w:cs="Times New Roman"/>
          <w:sz w:val="24"/>
          <w:szCs w:val="24"/>
        </w:rPr>
        <w:t xml:space="preserve">την αύξηση του δείκτη τιμών παραγωγού </w:t>
      </w:r>
      <w:r w:rsidRPr="00FD43D0">
        <w:rPr>
          <w:rFonts w:ascii="Times New Roman" w:hAnsi="Times New Roman" w:cs="Times New Roman"/>
          <w:sz w:val="24"/>
          <w:szCs w:val="24"/>
        </w:rPr>
        <w:t>εξωτερικής αγοράς κατά 22%, και β) σ</w:t>
      </w:r>
      <w:r w:rsidR="002F07FA" w:rsidRPr="00FD43D0">
        <w:rPr>
          <w:rFonts w:ascii="Times New Roman" w:hAnsi="Times New Roman" w:cs="Times New Roman"/>
          <w:sz w:val="24"/>
          <w:szCs w:val="24"/>
        </w:rPr>
        <w:t>την αύξηση του δείκτη τιμών παραγω</w:t>
      </w:r>
      <w:r w:rsidRPr="00FD43D0">
        <w:rPr>
          <w:rFonts w:ascii="Times New Roman" w:hAnsi="Times New Roman" w:cs="Times New Roman"/>
          <w:sz w:val="24"/>
          <w:szCs w:val="24"/>
        </w:rPr>
        <w:t xml:space="preserve">γού εγχώριας αγοράς κατά 10,3%. </w:t>
      </w:r>
      <w:r w:rsidR="002F07FA" w:rsidRPr="00FD43D0">
        <w:rPr>
          <w:rFonts w:ascii="Times New Roman" w:hAnsi="Times New Roman" w:cs="Times New Roman"/>
          <w:sz w:val="24"/>
          <w:szCs w:val="24"/>
        </w:rPr>
        <w:t>Παράλληλα</w:t>
      </w:r>
      <w:r w:rsidRPr="00FD43D0">
        <w:rPr>
          <w:rFonts w:ascii="Times New Roman" w:hAnsi="Times New Roman" w:cs="Times New Roman"/>
          <w:sz w:val="24"/>
          <w:szCs w:val="24"/>
        </w:rPr>
        <w:t xml:space="preserve">, σημειώνεται και η μεγάλη </w:t>
      </w:r>
      <w:r w:rsidR="002F07FA" w:rsidRPr="00FD43D0">
        <w:rPr>
          <w:rFonts w:ascii="Times New Roman" w:hAnsi="Times New Roman" w:cs="Times New Roman"/>
          <w:sz w:val="24"/>
          <w:szCs w:val="24"/>
        </w:rPr>
        <w:t xml:space="preserve">αύξηση </w:t>
      </w:r>
      <w:r>
        <w:rPr>
          <w:rFonts w:ascii="Times New Roman" w:hAnsi="Times New Roman" w:cs="Times New Roman"/>
          <w:sz w:val="24"/>
          <w:szCs w:val="24"/>
        </w:rPr>
        <w:t xml:space="preserve">στον «εισαγόμενο πληθωρισμό» </w:t>
      </w:r>
      <w:r w:rsidR="002F07FA" w:rsidRPr="00FD43D0">
        <w:rPr>
          <w:rFonts w:ascii="Times New Roman" w:hAnsi="Times New Roman" w:cs="Times New Roman"/>
          <w:sz w:val="24"/>
          <w:szCs w:val="24"/>
        </w:rPr>
        <w:t xml:space="preserve">20,5% </w:t>
      </w:r>
      <w:r w:rsidRPr="00FD43D0">
        <w:rPr>
          <w:rFonts w:ascii="Times New Roman" w:hAnsi="Times New Roman" w:cs="Times New Roman"/>
          <w:sz w:val="24"/>
          <w:szCs w:val="24"/>
        </w:rPr>
        <w:t>που κατέγραψε</w:t>
      </w:r>
      <w:r w:rsidR="002F07FA" w:rsidRPr="00FD43D0">
        <w:rPr>
          <w:rFonts w:ascii="Times New Roman" w:hAnsi="Times New Roman" w:cs="Times New Roman"/>
          <w:sz w:val="24"/>
          <w:szCs w:val="24"/>
        </w:rPr>
        <w:t xml:space="preserve"> </w:t>
      </w:r>
      <w:r>
        <w:rPr>
          <w:rFonts w:ascii="Times New Roman" w:hAnsi="Times New Roman" w:cs="Times New Roman"/>
          <w:sz w:val="24"/>
          <w:szCs w:val="24"/>
        </w:rPr>
        <w:t xml:space="preserve">ο </w:t>
      </w:r>
      <w:r w:rsidR="002F07FA" w:rsidRPr="00FD43D0">
        <w:rPr>
          <w:rFonts w:ascii="Times New Roman" w:hAnsi="Times New Roman" w:cs="Times New Roman"/>
          <w:sz w:val="24"/>
          <w:szCs w:val="24"/>
        </w:rPr>
        <w:t>γενικός δείκτης τιμών εισαγωγών στη βιομηχανία</w:t>
      </w:r>
      <w:r w:rsidRPr="00FD43D0">
        <w:rPr>
          <w:rStyle w:val="ae"/>
          <w:rFonts w:ascii="Times New Roman" w:hAnsi="Times New Roman" w:cs="Times New Roman"/>
          <w:sz w:val="24"/>
          <w:szCs w:val="24"/>
        </w:rPr>
        <w:footnoteReference w:id="5"/>
      </w:r>
      <w:r w:rsidR="002F07FA" w:rsidRPr="00FD43D0">
        <w:rPr>
          <w:rFonts w:ascii="Times New Roman" w:hAnsi="Times New Roman" w:cs="Times New Roman"/>
          <w:sz w:val="24"/>
          <w:szCs w:val="24"/>
        </w:rPr>
        <w:t xml:space="preserve"> τον Ιούνιο </w:t>
      </w:r>
      <w:r w:rsidRPr="00FD43D0">
        <w:rPr>
          <w:rFonts w:ascii="Times New Roman" w:hAnsi="Times New Roman" w:cs="Times New Roman"/>
          <w:sz w:val="24"/>
          <w:szCs w:val="24"/>
        </w:rPr>
        <w:t>του 2021</w:t>
      </w:r>
      <w:r w:rsidR="002F07FA" w:rsidRPr="00FD43D0">
        <w:rPr>
          <w:rFonts w:ascii="Times New Roman" w:hAnsi="Times New Roman" w:cs="Times New Roman"/>
          <w:sz w:val="24"/>
          <w:szCs w:val="24"/>
        </w:rPr>
        <w:t xml:space="preserve"> σε σύγκριση με τον αντίστοιχο δείκτη του Ιουνίου 2020, έναντι μείωσης 11,4% που σημειώθηκε κατά τη σύγκριση των αντίστοι</w:t>
      </w:r>
      <w:r w:rsidR="001E72BC">
        <w:rPr>
          <w:rFonts w:ascii="Times New Roman" w:hAnsi="Times New Roman" w:cs="Times New Roman"/>
          <w:sz w:val="24"/>
          <w:szCs w:val="24"/>
        </w:rPr>
        <w:t xml:space="preserve">χων δεικτών το 2020 με το 2019. </w:t>
      </w:r>
      <w:r w:rsidR="001E72BC" w:rsidRPr="001E72BC">
        <w:rPr>
          <w:rFonts w:ascii="Times New Roman" w:hAnsi="Times New Roman" w:cs="Times New Roman"/>
          <w:sz w:val="24"/>
          <w:szCs w:val="24"/>
        </w:rPr>
        <w:t>Η σημαντική αυτή μεταβολή</w:t>
      </w:r>
      <w:r w:rsidR="002F07FA" w:rsidRPr="001E72BC">
        <w:rPr>
          <w:rFonts w:ascii="Times New Roman" w:hAnsi="Times New Roman" w:cs="Times New Roman"/>
          <w:sz w:val="24"/>
          <w:szCs w:val="24"/>
        </w:rPr>
        <w:t xml:space="preserve"> οφείλεται:</w:t>
      </w:r>
      <w:r w:rsidR="001E72BC" w:rsidRPr="001E72BC">
        <w:rPr>
          <w:rFonts w:ascii="Times New Roman" w:hAnsi="Times New Roman" w:cs="Times New Roman"/>
          <w:sz w:val="24"/>
          <w:szCs w:val="24"/>
        </w:rPr>
        <w:t xml:space="preserve"> α) σ</w:t>
      </w:r>
      <w:r w:rsidR="002F07FA" w:rsidRPr="001E72BC">
        <w:rPr>
          <w:rFonts w:ascii="Times New Roman" w:hAnsi="Times New Roman" w:cs="Times New Roman"/>
          <w:sz w:val="24"/>
          <w:szCs w:val="24"/>
        </w:rPr>
        <w:t>την αύξηση του δείκτη τιμών εισαγωγών από χώρες εκτός ευρωζώνης κατά 32,7%, και</w:t>
      </w:r>
      <w:r w:rsidR="001E72BC" w:rsidRPr="001E72BC">
        <w:rPr>
          <w:rFonts w:ascii="Times New Roman" w:hAnsi="Times New Roman" w:cs="Times New Roman"/>
          <w:sz w:val="24"/>
          <w:szCs w:val="24"/>
        </w:rPr>
        <w:t xml:space="preserve"> β) σ</w:t>
      </w:r>
      <w:r w:rsidR="002F07FA" w:rsidRPr="001E72BC">
        <w:rPr>
          <w:rFonts w:ascii="Times New Roman" w:hAnsi="Times New Roman" w:cs="Times New Roman"/>
          <w:sz w:val="24"/>
          <w:szCs w:val="24"/>
        </w:rPr>
        <w:t>την αύξηση του δείκτη τιμών εισαγωγών από χώρες ευρωζώνης κατά 3,2%.</w:t>
      </w:r>
    </w:p>
    <w:p w14:paraId="0B3BE25A" w14:textId="79FF425A" w:rsidR="00E037EC" w:rsidRPr="00522F59" w:rsidRDefault="00E037EC" w:rsidP="00E037EC">
      <w:pPr>
        <w:spacing w:after="0" w:line="360" w:lineRule="auto"/>
        <w:jc w:val="both"/>
        <w:rPr>
          <w:rFonts w:ascii="Times New Roman" w:hAnsi="Times New Roman" w:cs="Times New Roman"/>
          <w:sz w:val="24"/>
          <w:szCs w:val="24"/>
        </w:rPr>
      </w:pPr>
      <w:r w:rsidRPr="00522F59">
        <w:rPr>
          <w:rFonts w:ascii="Times New Roman" w:hAnsi="Times New Roman" w:cs="Times New Roman"/>
          <w:sz w:val="24"/>
          <w:szCs w:val="24"/>
        </w:rPr>
        <w:t>Από τα στοιχεία της έρευνας</w:t>
      </w:r>
      <w:r w:rsidR="007029D5">
        <w:rPr>
          <w:rFonts w:ascii="Times New Roman" w:hAnsi="Times New Roman" w:cs="Times New Roman"/>
          <w:sz w:val="24"/>
          <w:szCs w:val="24"/>
        </w:rPr>
        <w:t>,</w:t>
      </w:r>
      <w:r w:rsidRPr="00522F59">
        <w:rPr>
          <w:rFonts w:ascii="Times New Roman" w:hAnsi="Times New Roman" w:cs="Times New Roman"/>
          <w:sz w:val="24"/>
          <w:szCs w:val="24"/>
        </w:rPr>
        <w:t xml:space="preserve"> εκτιμάται πως οι ανατιμήσεις</w:t>
      </w:r>
      <w:r w:rsidR="00522F59" w:rsidRPr="00522F59">
        <w:rPr>
          <w:rFonts w:ascii="Times New Roman" w:hAnsi="Times New Roman" w:cs="Times New Roman"/>
          <w:sz w:val="24"/>
          <w:szCs w:val="24"/>
        </w:rPr>
        <w:t xml:space="preserve"> που οφείλονται κυρίως στην αύξηση των τιμών ενέργειας και την ευρύτερη αύξηση εμπορευμάτων και υπηρεσιών</w:t>
      </w:r>
      <w:r w:rsidR="005E486E">
        <w:rPr>
          <w:rFonts w:ascii="Times New Roman" w:hAnsi="Times New Roman" w:cs="Times New Roman"/>
          <w:sz w:val="24"/>
          <w:szCs w:val="24"/>
        </w:rPr>
        <w:t>,</w:t>
      </w:r>
      <w:r w:rsidRPr="00522F59">
        <w:rPr>
          <w:rFonts w:ascii="Times New Roman" w:hAnsi="Times New Roman" w:cs="Times New Roman"/>
          <w:sz w:val="24"/>
          <w:szCs w:val="24"/>
        </w:rPr>
        <w:t xml:space="preserve"> θα συνεχιστούν </w:t>
      </w:r>
      <w:r w:rsidR="00522F59" w:rsidRPr="00522F59">
        <w:rPr>
          <w:rFonts w:ascii="Times New Roman" w:hAnsi="Times New Roman" w:cs="Times New Roman"/>
          <w:sz w:val="24"/>
          <w:szCs w:val="24"/>
        </w:rPr>
        <w:t xml:space="preserve">διαμορφώνοντας ένα υψηλότερο επίπεδο τιμών. Η εξέλιξη αυτή που θα δοκιμάσει τις προοπτικές ανάκαμψης της ελληνικής οικονομίας έχει ήδη αφήσει το αποτύπωμα της καθώς ο υψηλός εισαγόμενος πληθωρισμός αποδυναμώνει </w:t>
      </w:r>
      <w:r w:rsidR="00522F59" w:rsidRPr="00522F59">
        <w:rPr>
          <w:rFonts w:ascii="Times New Roman" w:hAnsi="Times New Roman" w:cs="Times New Roman"/>
          <w:sz w:val="24"/>
          <w:szCs w:val="24"/>
        </w:rPr>
        <w:lastRenderedPageBreak/>
        <w:t xml:space="preserve">την κατανάλωση </w:t>
      </w:r>
      <w:r w:rsidR="00522F59">
        <w:rPr>
          <w:rFonts w:ascii="Times New Roman" w:hAnsi="Times New Roman" w:cs="Times New Roman"/>
          <w:sz w:val="24"/>
          <w:szCs w:val="24"/>
        </w:rPr>
        <w:t xml:space="preserve">με τη μείωση του διαθέσιμου εισοδήματος. Επηρεάζει, μάλιστα, δυσμενέστερα τους χαμηλόμισθους δεδομένου ότι </w:t>
      </w:r>
      <w:r w:rsidR="00271C23">
        <w:rPr>
          <w:rFonts w:ascii="Times New Roman" w:hAnsi="Times New Roman" w:cs="Times New Roman"/>
          <w:sz w:val="24"/>
          <w:szCs w:val="24"/>
        </w:rPr>
        <w:t>έχει</w:t>
      </w:r>
      <w:r w:rsidR="00522F59">
        <w:rPr>
          <w:rFonts w:ascii="Times New Roman" w:hAnsi="Times New Roman" w:cs="Times New Roman"/>
          <w:sz w:val="24"/>
          <w:szCs w:val="24"/>
        </w:rPr>
        <w:t xml:space="preserve"> εξα</w:t>
      </w:r>
      <w:r w:rsidR="00271C23">
        <w:rPr>
          <w:rFonts w:ascii="Times New Roman" w:hAnsi="Times New Roman" w:cs="Times New Roman"/>
          <w:sz w:val="24"/>
          <w:szCs w:val="24"/>
        </w:rPr>
        <w:t>νε</w:t>
      </w:r>
      <w:r w:rsidR="00522F59">
        <w:rPr>
          <w:rFonts w:ascii="Times New Roman" w:hAnsi="Times New Roman" w:cs="Times New Roman"/>
          <w:sz w:val="24"/>
          <w:szCs w:val="24"/>
        </w:rPr>
        <w:t>μ</w:t>
      </w:r>
      <w:r w:rsidR="00271C23">
        <w:rPr>
          <w:rFonts w:ascii="Times New Roman" w:hAnsi="Times New Roman" w:cs="Times New Roman"/>
          <w:sz w:val="24"/>
          <w:szCs w:val="24"/>
        </w:rPr>
        <w:t xml:space="preserve">ίσει </w:t>
      </w:r>
      <w:r w:rsidR="00522F59" w:rsidRPr="00522F59">
        <w:rPr>
          <w:rFonts w:ascii="Times New Roman" w:hAnsi="Times New Roman" w:cs="Times New Roman"/>
          <w:sz w:val="24"/>
          <w:szCs w:val="24"/>
        </w:rPr>
        <w:t xml:space="preserve">την αύξηση του κατώτατου μισθού, </w:t>
      </w:r>
      <w:r w:rsidR="00271C23">
        <w:rPr>
          <w:rFonts w:ascii="Times New Roman" w:hAnsi="Times New Roman" w:cs="Times New Roman"/>
          <w:sz w:val="24"/>
          <w:szCs w:val="24"/>
        </w:rPr>
        <w:t>που ωστόσο δόθηκε υπό το βάρος των προσφάτων πληθωριστικών πιέσεων</w:t>
      </w:r>
      <w:r w:rsidRPr="00E037EC">
        <w:rPr>
          <w:rFonts w:ascii="Times New Roman" w:hAnsi="Times New Roman" w:cs="Times New Roman"/>
          <w:sz w:val="24"/>
          <w:szCs w:val="24"/>
        </w:rPr>
        <w:t xml:space="preserve">. </w:t>
      </w:r>
      <w:r w:rsidR="00271C23" w:rsidRPr="005E486E">
        <w:rPr>
          <w:rFonts w:ascii="Times New Roman" w:hAnsi="Times New Roman" w:cs="Times New Roman"/>
          <w:sz w:val="24"/>
          <w:szCs w:val="24"/>
        </w:rPr>
        <w:t xml:space="preserve">Παρόλο που δεν είναι ακόμα εμφανές εάν η άνοδος του πληθωρισμού αποτελεί προσωρινό φαινόμενο, </w:t>
      </w:r>
      <w:r w:rsidR="005E486E" w:rsidRPr="005E486E">
        <w:rPr>
          <w:rFonts w:ascii="Times New Roman" w:hAnsi="Times New Roman" w:cs="Times New Roman"/>
          <w:sz w:val="24"/>
          <w:szCs w:val="24"/>
        </w:rPr>
        <w:t xml:space="preserve">η συνέχιση του φαινομένου θα οδηγήσει είτε σε αύξηση του βασικού επιτοκίου στην Ευρωζώνη κάτι που θα εκθέσει σε κίνδυνο τα κράτη-μέλη με υπέρογκο χρέος, είτε στην περαιτέρω αύξηση των τιμών όπου ίσως θα πρέπει να αντιμετωπιστεί με ελάφρυνση της </w:t>
      </w:r>
      <w:r w:rsidR="005E486E">
        <w:rPr>
          <w:rFonts w:ascii="Times New Roman" w:hAnsi="Times New Roman" w:cs="Times New Roman"/>
          <w:sz w:val="24"/>
          <w:szCs w:val="24"/>
        </w:rPr>
        <w:t xml:space="preserve">σχετικής </w:t>
      </w:r>
      <w:r w:rsidR="005E486E" w:rsidRPr="005E486E">
        <w:rPr>
          <w:rFonts w:ascii="Times New Roman" w:hAnsi="Times New Roman" w:cs="Times New Roman"/>
          <w:sz w:val="24"/>
          <w:szCs w:val="24"/>
        </w:rPr>
        <w:t>φορολόγησης</w:t>
      </w:r>
      <w:r w:rsidR="005E486E">
        <w:rPr>
          <w:rFonts w:ascii="Times New Roman" w:hAnsi="Times New Roman" w:cs="Times New Roman"/>
          <w:sz w:val="24"/>
          <w:szCs w:val="24"/>
        </w:rPr>
        <w:t xml:space="preserve">, και πολιτικών πρόνοιας για τις πιο ευάλωτες κοινωνικές ομάδες. </w:t>
      </w:r>
      <w:r w:rsidR="006A1B36">
        <w:rPr>
          <w:rFonts w:ascii="Times New Roman" w:hAnsi="Times New Roman" w:cs="Times New Roman"/>
          <w:sz w:val="24"/>
          <w:szCs w:val="24"/>
        </w:rPr>
        <w:t>Επιπλέον</w:t>
      </w:r>
      <w:r w:rsidR="007029D5">
        <w:rPr>
          <w:rFonts w:ascii="Times New Roman" w:hAnsi="Times New Roman" w:cs="Times New Roman"/>
          <w:sz w:val="24"/>
          <w:szCs w:val="24"/>
        </w:rPr>
        <w:t>,</w:t>
      </w:r>
      <w:r w:rsidR="006A1B36">
        <w:rPr>
          <w:rFonts w:ascii="Times New Roman" w:hAnsi="Times New Roman" w:cs="Times New Roman"/>
          <w:sz w:val="24"/>
          <w:szCs w:val="24"/>
        </w:rPr>
        <w:t xml:space="preserve"> φαίνεται πως είναι άμεσης προτεραιότητας ανάγκη η στήριξη των επιχειρήσεων που έχουν πληγεί δυσανάλογα από τις επιπτώσεις της υγειονομικής κρίσης, όπως οι επιχειρήσεις εστίασης, </w:t>
      </w:r>
      <w:r w:rsidR="00BE33E5">
        <w:rPr>
          <w:rFonts w:ascii="Times New Roman" w:hAnsi="Times New Roman" w:cs="Times New Roman"/>
          <w:sz w:val="24"/>
          <w:szCs w:val="24"/>
        </w:rPr>
        <w:t>που φαίνεται πως</w:t>
      </w:r>
      <w:r w:rsidR="007A055D">
        <w:rPr>
          <w:rFonts w:ascii="Times New Roman" w:hAnsi="Times New Roman" w:cs="Times New Roman"/>
          <w:sz w:val="24"/>
          <w:szCs w:val="24"/>
        </w:rPr>
        <w:t>,</w:t>
      </w:r>
      <w:r w:rsidR="00BE33E5">
        <w:rPr>
          <w:rFonts w:ascii="Times New Roman" w:hAnsi="Times New Roman" w:cs="Times New Roman"/>
          <w:sz w:val="24"/>
          <w:szCs w:val="24"/>
        </w:rPr>
        <w:t xml:space="preserve"> </w:t>
      </w:r>
      <w:r w:rsidR="007A055D">
        <w:rPr>
          <w:rFonts w:ascii="Times New Roman" w:hAnsi="Times New Roman" w:cs="Times New Roman"/>
          <w:sz w:val="24"/>
          <w:szCs w:val="24"/>
        </w:rPr>
        <w:t>τουλάχιστον για το Α</w:t>
      </w:r>
      <w:r w:rsidR="007029D5">
        <w:rPr>
          <w:rFonts w:ascii="Times New Roman" w:hAnsi="Times New Roman" w:cs="Times New Roman"/>
          <w:sz w:val="24"/>
          <w:szCs w:val="24"/>
        </w:rPr>
        <w:t>’</w:t>
      </w:r>
      <w:r w:rsidR="007A055D">
        <w:rPr>
          <w:rFonts w:ascii="Times New Roman" w:hAnsi="Times New Roman" w:cs="Times New Roman"/>
          <w:sz w:val="24"/>
          <w:szCs w:val="24"/>
        </w:rPr>
        <w:t xml:space="preserve"> εξάμηνο του 2021, απορρόφησαν</w:t>
      </w:r>
      <w:r w:rsidR="00BE33E5">
        <w:rPr>
          <w:rFonts w:ascii="Times New Roman" w:hAnsi="Times New Roman" w:cs="Times New Roman"/>
          <w:sz w:val="24"/>
          <w:szCs w:val="24"/>
        </w:rPr>
        <w:t xml:space="preserve"> την άνοδο των τιμών, προσθέτοντας ακόμα έναν επιβαρυντικό παράγοντα στην προσπάθεια επιβίωσης που καταβάλουν.</w:t>
      </w:r>
    </w:p>
    <w:p w14:paraId="0F62BEF7" w14:textId="77777777" w:rsidR="00A15E43" w:rsidRDefault="00A15E43" w:rsidP="00761263">
      <w:pPr>
        <w:spacing w:after="0" w:line="360" w:lineRule="auto"/>
        <w:jc w:val="both"/>
        <w:rPr>
          <w:rFonts w:ascii="Times New Roman" w:eastAsia="Times New Roman" w:hAnsi="Times New Roman" w:cs="Times New Roman"/>
          <w:b/>
          <w:bCs/>
          <w:noProof/>
          <w:sz w:val="24"/>
          <w:szCs w:val="24"/>
          <w:u w:val="single"/>
          <w:lang w:eastAsia="el-GR"/>
        </w:rPr>
      </w:pPr>
    </w:p>
    <w:p w14:paraId="652A126F" w14:textId="3C8953C8" w:rsidR="00A9257F" w:rsidRPr="009A0452" w:rsidRDefault="00A9257F" w:rsidP="00761263">
      <w:pPr>
        <w:spacing w:after="0" w:line="360" w:lineRule="auto"/>
        <w:jc w:val="both"/>
        <w:rPr>
          <w:rFonts w:ascii="Times New Roman" w:eastAsia="Times New Roman" w:hAnsi="Times New Roman" w:cs="Times New Roman"/>
          <w:b/>
          <w:bCs/>
          <w:noProof/>
          <w:sz w:val="24"/>
          <w:szCs w:val="24"/>
          <w:u w:val="single"/>
          <w:lang w:eastAsia="el-GR"/>
        </w:rPr>
      </w:pPr>
      <w:r w:rsidRPr="009A0452">
        <w:rPr>
          <w:rFonts w:ascii="Times New Roman" w:eastAsia="Times New Roman" w:hAnsi="Times New Roman" w:cs="Times New Roman"/>
          <w:b/>
          <w:bCs/>
          <w:noProof/>
          <w:sz w:val="24"/>
          <w:szCs w:val="24"/>
          <w:u w:val="single"/>
          <w:lang w:eastAsia="el-GR"/>
        </w:rPr>
        <w:t xml:space="preserve">Ρευστότητα – </w:t>
      </w:r>
      <w:r w:rsidR="00E207F2" w:rsidRPr="009A0452">
        <w:rPr>
          <w:rFonts w:ascii="Times New Roman" w:eastAsia="Times New Roman" w:hAnsi="Times New Roman" w:cs="Times New Roman"/>
          <w:b/>
          <w:bCs/>
          <w:noProof/>
          <w:sz w:val="24"/>
          <w:szCs w:val="24"/>
          <w:u w:val="single"/>
          <w:lang w:eastAsia="el-GR"/>
        </w:rPr>
        <w:t xml:space="preserve">Τραπεζικός δανεισμός - </w:t>
      </w:r>
      <w:r w:rsidR="00694711" w:rsidRPr="009A0452">
        <w:rPr>
          <w:rFonts w:ascii="Times New Roman" w:eastAsia="Times New Roman" w:hAnsi="Times New Roman" w:cs="Times New Roman"/>
          <w:b/>
          <w:bCs/>
          <w:noProof/>
          <w:sz w:val="24"/>
          <w:szCs w:val="24"/>
          <w:u w:val="single"/>
          <w:lang w:eastAsia="el-GR"/>
        </w:rPr>
        <w:t xml:space="preserve">Ταμειακά διαθέσιμα </w:t>
      </w:r>
    </w:p>
    <w:p w14:paraId="0ECF737B" w14:textId="7D8A3A9A" w:rsidR="009244EA" w:rsidRDefault="00A9257F" w:rsidP="00761263">
      <w:pPr>
        <w:spacing w:after="0" w:line="360" w:lineRule="auto"/>
        <w:jc w:val="both"/>
        <w:rPr>
          <w:rFonts w:ascii="Times New Roman" w:hAnsi="Times New Roman" w:cs="Times New Roman"/>
          <w:sz w:val="24"/>
          <w:szCs w:val="24"/>
        </w:rPr>
      </w:pPr>
      <w:bookmarkStart w:id="12" w:name="_Hlk68246211"/>
      <w:r w:rsidRPr="001E72BC">
        <w:rPr>
          <w:rFonts w:ascii="Times New Roman" w:hAnsi="Times New Roman" w:cs="Times New Roman"/>
          <w:sz w:val="24"/>
          <w:szCs w:val="24"/>
        </w:rPr>
        <w:t xml:space="preserve">Η ρευστότητα των επιχειρήσεων το </w:t>
      </w:r>
      <w:r w:rsidR="009A0452" w:rsidRPr="001E72BC">
        <w:rPr>
          <w:rFonts w:ascii="Times New Roman" w:hAnsi="Times New Roman" w:cs="Times New Roman"/>
          <w:sz w:val="24"/>
          <w:szCs w:val="24"/>
        </w:rPr>
        <w:t>Α</w:t>
      </w:r>
      <w:r w:rsidR="00D17649">
        <w:rPr>
          <w:rFonts w:ascii="Times New Roman" w:hAnsi="Times New Roman" w:cs="Times New Roman"/>
          <w:sz w:val="24"/>
          <w:szCs w:val="24"/>
        </w:rPr>
        <w:t>’</w:t>
      </w:r>
      <w:r w:rsidR="009A0452" w:rsidRPr="001E72BC">
        <w:rPr>
          <w:rFonts w:ascii="Times New Roman" w:hAnsi="Times New Roman" w:cs="Times New Roman"/>
          <w:sz w:val="24"/>
          <w:szCs w:val="24"/>
        </w:rPr>
        <w:t xml:space="preserve"> εξάμηνο του 2021 παρουσιάζει βελτίωση, ωστόσο,</w:t>
      </w:r>
      <w:r w:rsidRPr="001E72BC">
        <w:rPr>
          <w:rFonts w:ascii="Times New Roman" w:hAnsi="Times New Roman" w:cs="Times New Roman"/>
          <w:sz w:val="24"/>
          <w:szCs w:val="24"/>
        </w:rPr>
        <w:t xml:space="preserve"> </w:t>
      </w:r>
      <w:r w:rsidR="009A0452" w:rsidRPr="001E72BC">
        <w:rPr>
          <w:rFonts w:ascii="Times New Roman" w:hAnsi="Times New Roman" w:cs="Times New Roman"/>
          <w:sz w:val="24"/>
          <w:szCs w:val="24"/>
        </w:rPr>
        <w:t>συνεχίζει να</w:t>
      </w:r>
      <w:r w:rsidRPr="001E72BC">
        <w:rPr>
          <w:rFonts w:ascii="Times New Roman" w:hAnsi="Times New Roman" w:cs="Times New Roman"/>
          <w:sz w:val="24"/>
          <w:szCs w:val="24"/>
        </w:rPr>
        <w:t xml:space="preserve"> </w:t>
      </w:r>
      <w:r w:rsidR="009A0452" w:rsidRPr="001E72BC">
        <w:rPr>
          <w:rFonts w:ascii="Times New Roman" w:hAnsi="Times New Roman" w:cs="Times New Roman"/>
          <w:sz w:val="24"/>
          <w:szCs w:val="24"/>
        </w:rPr>
        <w:t>α</w:t>
      </w:r>
      <w:r w:rsidR="00425E4A" w:rsidRPr="001E72BC">
        <w:rPr>
          <w:rFonts w:ascii="Times New Roman" w:hAnsi="Times New Roman" w:cs="Times New Roman"/>
          <w:sz w:val="24"/>
          <w:szCs w:val="24"/>
        </w:rPr>
        <w:t>ποτελεί το</w:t>
      </w:r>
      <w:r w:rsidR="001E72BC" w:rsidRPr="001E72BC">
        <w:rPr>
          <w:rFonts w:ascii="Times New Roman" w:hAnsi="Times New Roman" w:cs="Times New Roman"/>
          <w:sz w:val="24"/>
          <w:szCs w:val="24"/>
        </w:rPr>
        <w:t>ν</w:t>
      </w:r>
      <w:r w:rsidR="00425E4A" w:rsidRPr="001E72BC">
        <w:rPr>
          <w:rFonts w:ascii="Times New Roman" w:hAnsi="Times New Roman" w:cs="Times New Roman"/>
          <w:sz w:val="24"/>
          <w:szCs w:val="24"/>
        </w:rPr>
        <w:t xml:space="preserve"> δείκτη με την χαμηλότερη επίδοση σε σχέση με τους υπόλοιπους</w:t>
      </w:r>
      <w:r w:rsidR="009A0452" w:rsidRPr="001E72BC">
        <w:rPr>
          <w:rFonts w:ascii="Times New Roman" w:hAnsi="Times New Roman" w:cs="Times New Roman"/>
          <w:sz w:val="24"/>
          <w:szCs w:val="24"/>
        </w:rPr>
        <w:t xml:space="preserve"> και κατ’ επέκταση το σημαντικότερο πρόβλημα που αντιμετωπίζει η πλειονότητα των επιχειρήσεων</w:t>
      </w:r>
      <w:r w:rsidR="00425E4A" w:rsidRPr="001E72BC">
        <w:rPr>
          <w:rFonts w:ascii="Times New Roman" w:hAnsi="Times New Roman" w:cs="Times New Roman"/>
          <w:sz w:val="24"/>
          <w:szCs w:val="24"/>
        </w:rPr>
        <w:t xml:space="preserve">. </w:t>
      </w:r>
      <w:r w:rsidR="009A0452" w:rsidRPr="001E72BC">
        <w:rPr>
          <w:rFonts w:ascii="Times New Roman" w:hAnsi="Times New Roman" w:cs="Times New Roman"/>
          <w:sz w:val="24"/>
          <w:szCs w:val="24"/>
        </w:rPr>
        <w:t>Και τούτο παρά τα μέτρα στήριξης της ρευστότητας των επιχειρήσεων που υιοθέτησε η κυβέρνηση</w:t>
      </w:r>
      <w:r w:rsidR="001E72BC">
        <w:rPr>
          <w:rFonts w:ascii="Times New Roman" w:hAnsi="Times New Roman" w:cs="Times New Roman"/>
          <w:sz w:val="24"/>
          <w:szCs w:val="24"/>
        </w:rPr>
        <w:t>, με σημαντικότερο εκείνο της επιστρεπτέας προκαταβολής</w:t>
      </w:r>
      <w:r w:rsidR="009A0452" w:rsidRPr="001E72BC">
        <w:rPr>
          <w:rFonts w:ascii="Times New Roman" w:hAnsi="Times New Roman" w:cs="Times New Roman"/>
          <w:sz w:val="24"/>
          <w:szCs w:val="24"/>
        </w:rPr>
        <w:t xml:space="preserve"> </w:t>
      </w:r>
      <w:r w:rsidR="001E72BC">
        <w:rPr>
          <w:rFonts w:ascii="Times New Roman" w:hAnsi="Times New Roman" w:cs="Times New Roman"/>
          <w:sz w:val="24"/>
          <w:szCs w:val="24"/>
        </w:rPr>
        <w:t xml:space="preserve">που </w:t>
      </w:r>
      <w:r w:rsidR="00650C60">
        <w:rPr>
          <w:rFonts w:ascii="Times New Roman" w:hAnsi="Times New Roman" w:cs="Times New Roman"/>
          <w:sz w:val="24"/>
          <w:szCs w:val="24"/>
        </w:rPr>
        <w:t>όμως,</w:t>
      </w:r>
      <w:r w:rsidR="001E72BC">
        <w:rPr>
          <w:rFonts w:ascii="Times New Roman" w:hAnsi="Times New Roman" w:cs="Times New Roman"/>
          <w:sz w:val="24"/>
          <w:szCs w:val="24"/>
        </w:rPr>
        <w:t xml:space="preserve"> όπως</w:t>
      </w:r>
      <w:r w:rsidR="009A0452" w:rsidRPr="001E72BC">
        <w:rPr>
          <w:rFonts w:ascii="Times New Roman" w:hAnsi="Times New Roman" w:cs="Times New Roman"/>
          <w:sz w:val="24"/>
          <w:szCs w:val="24"/>
        </w:rPr>
        <w:t xml:space="preserve"> αποτυπώθηκε στην προηγο</w:t>
      </w:r>
      <w:r w:rsidR="00D17649">
        <w:rPr>
          <w:rFonts w:ascii="Times New Roman" w:hAnsi="Times New Roman" w:cs="Times New Roman"/>
          <w:sz w:val="24"/>
          <w:szCs w:val="24"/>
        </w:rPr>
        <w:t>ύ</w:t>
      </w:r>
      <w:r w:rsidR="009A0452" w:rsidRPr="001E72BC">
        <w:rPr>
          <w:rFonts w:ascii="Times New Roman" w:hAnsi="Times New Roman" w:cs="Times New Roman"/>
          <w:sz w:val="24"/>
          <w:szCs w:val="24"/>
        </w:rPr>
        <w:t>μ</w:t>
      </w:r>
      <w:r w:rsidR="00D17649">
        <w:rPr>
          <w:rFonts w:ascii="Times New Roman" w:hAnsi="Times New Roman" w:cs="Times New Roman"/>
          <w:sz w:val="24"/>
          <w:szCs w:val="24"/>
        </w:rPr>
        <w:t>ε</w:t>
      </w:r>
      <w:r w:rsidR="009A0452" w:rsidRPr="001E72BC">
        <w:rPr>
          <w:rFonts w:ascii="Times New Roman" w:hAnsi="Times New Roman" w:cs="Times New Roman"/>
          <w:sz w:val="24"/>
          <w:szCs w:val="24"/>
        </w:rPr>
        <w:t>νη εξαμηνιαία έρευνα κλίματος του ΙΜΕ ΓΣΕΒΕΕ (Φεβρουάριος 2021)</w:t>
      </w:r>
      <w:r w:rsidR="009A0452" w:rsidRPr="001E72BC">
        <w:rPr>
          <w:rStyle w:val="ae"/>
          <w:rFonts w:ascii="Times New Roman" w:hAnsi="Times New Roman" w:cs="Times New Roman"/>
          <w:sz w:val="24"/>
          <w:szCs w:val="24"/>
        </w:rPr>
        <w:footnoteReference w:id="6"/>
      </w:r>
      <w:r w:rsidR="001E72BC">
        <w:rPr>
          <w:rFonts w:ascii="Times New Roman" w:hAnsi="Times New Roman" w:cs="Times New Roman"/>
          <w:sz w:val="24"/>
          <w:szCs w:val="24"/>
        </w:rPr>
        <w:t xml:space="preserve"> για την πλειονότητα των επιχειρήσεων που το αξιοποίησαν (</w:t>
      </w:r>
      <w:r w:rsidR="00DD23C0" w:rsidRPr="00DD23C0">
        <w:rPr>
          <w:rFonts w:ascii="Times New Roman" w:hAnsi="Times New Roman" w:cs="Times New Roman"/>
          <w:sz w:val="24"/>
          <w:szCs w:val="24"/>
        </w:rPr>
        <w:t>59</w:t>
      </w:r>
      <w:r w:rsidR="001E72BC">
        <w:rPr>
          <w:rFonts w:ascii="Times New Roman" w:hAnsi="Times New Roman" w:cs="Times New Roman"/>
          <w:sz w:val="24"/>
          <w:szCs w:val="24"/>
        </w:rPr>
        <w:t xml:space="preserve">%) </w:t>
      </w:r>
      <w:r w:rsidR="00DD23C0" w:rsidRPr="00DD23C0">
        <w:rPr>
          <w:rFonts w:ascii="Times New Roman" w:hAnsi="Times New Roman" w:cs="Times New Roman"/>
          <w:sz w:val="24"/>
          <w:szCs w:val="24"/>
        </w:rPr>
        <w:t>δεν ήταν αρκετ</w:t>
      </w:r>
      <w:r w:rsidR="00DD23C0">
        <w:rPr>
          <w:rFonts w:ascii="Times New Roman" w:hAnsi="Times New Roman" w:cs="Times New Roman"/>
          <w:sz w:val="24"/>
          <w:szCs w:val="24"/>
        </w:rPr>
        <w:t>ό</w:t>
      </w:r>
      <w:r w:rsidR="00DD23C0" w:rsidRPr="00DD23C0">
        <w:rPr>
          <w:rFonts w:ascii="Times New Roman" w:hAnsi="Times New Roman" w:cs="Times New Roman"/>
          <w:sz w:val="24"/>
          <w:szCs w:val="24"/>
        </w:rPr>
        <w:t xml:space="preserve"> για να καλύψει ένα σημαντικό μέρος των αναγκών τους</w:t>
      </w:r>
      <w:r w:rsidR="001E72BC">
        <w:rPr>
          <w:rFonts w:ascii="Times New Roman" w:hAnsi="Times New Roman" w:cs="Times New Roman"/>
          <w:sz w:val="24"/>
          <w:szCs w:val="24"/>
        </w:rPr>
        <w:t xml:space="preserve">. </w:t>
      </w:r>
      <w:r w:rsidR="009A0452" w:rsidRPr="001E72BC">
        <w:rPr>
          <w:rFonts w:ascii="Times New Roman" w:hAnsi="Times New Roman" w:cs="Times New Roman"/>
          <w:sz w:val="24"/>
          <w:szCs w:val="24"/>
        </w:rPr>
        <w:t xml:space="preserve"> </w:t>
      </w:r>
      <w:r w:rsidR="00DD23C0">
        <w:rPr>
          <w:rFonts w:ascii="Times New Roman" w:hAnsi="Times New Roman" w:cs="Times New Roman"/>
          <w:sz w:val="24"/>
          <w:szCs w:val="24"/>
        </w:rPr>
        <w:t xml:space="preserve">Στα επιμέρους στοιχεία τις καλύτερες επιδόσεις παρουσιάζουν οι επιχειρήσεις με </w:t>
      </w:r>
      <w:r w:rsidR="00D17649">
        <w:rPr>
          <w:rFonts w:ascii="Times New Roman" w:hAnsi="Times New Roman" w:cs="Times New Roman"/>
          <w:sz w:val="24"/>
          <w:szCs w:val="24"/>
        </w:rPr>
        <w:t>κύκλο εργασιών</w:t>
      </w:r>
      <w:r w:rsidR="00DD23C0">
        <w:rPr>
          <w:rFonts w:ascii="Times New Roman" w:hAnsi="Times New Roman" w:cs="Times New Roman"/>
          <w:sz w:val="24"/>
          <w:szCs w:val="24"/>
        </w:rPr>
        <w:t xml:space="preserve"> πάνω από 300.000 € (31% δήλωσε πως η ρευστότητα του αυξήθηκε, έναντι του 24,8% που μειώθηκε και του 44,2% που παρέμεινε αμετάβλητη) και οι επιχειρήσεις με πάνω από 5 άτομα προσωπικό (</w:t>
      </w:r>
      <w:r w:rsidR="009244EA">
        <w:rPr>
          <w:rFonts w:ascii="Times New Roman" w:hAnsi="Times New Roman" w:cs="Times New Roman"/>
          <w:sz w:val="24"/>
          <w:szCs w:val="24"/>
        </w:rPr>
        <w:t>25,2% δήλωσε αύξηση ρευστότητες, 38,2% μείωση και 35,1% αμετάβλητη). Από την άλλη μεριά</w:t>
      </w:r>
      <w:r w:rsidR="00D17649">
        <w:rPr>
          <w:rFonts w:ascii="Times New Roman" w:hAnsi="Times New Roman" w:cs="Times New Roman"/>
          <w:sz w:val="24"/>
          <w:szCs w:val="24"/>
        </w:rPr>
        <w:t>,</w:t>
      </w:r>
      <w:r w:rsidR="009244EA">
        <w:rPr>
          <w:rFonts w:ascii="Times New Roman" w:hAnsi="Times New Roman" w:cs="Times New Roman"/>
          <w:sz w:val="24"/>
          <w:szCs w:val="24"/>
        </w:rPr>
        <w:t xml:space="preserve"> τα σοβαρότερα προβλήματα ρευστότητας φαίνεται πως αντιμετωπίζουν οι επιχειρήσεις με τζίρο έως 50.000 € (9,2% δήλωσε αύξηση, 70,4% μείωση και 19,6% αμετάβλητη) και οι επιχειρήσεις χωρίς προσωπικό (10,2% αύξηση, 67,3% μείωση και 21,7% αμετάβλητη).</w:t>
      </w:r>
    </w:p>
    <w:p w14:paraId="71F56C3E" w14:textId="1DB134F9" w:rsidR="00D17649" w:rsidRPr="00DF32C4" w:rsidRDefault="009244EA" w:rsidP="007612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Επιπλέον</w:t>
      </w:r>
      <w:r w:rsidR="00D17649">
        <w:rPr>
          <w:rFonts w:ascii="Times New Roman" w:hAnsi="Times New Roman" w:cs="Times New Roman"/>
          <w:sz w:val="24"/>
          <w:szCs w:val="24"/>
        </w:rPr>
        <w:t>,</w:t>
      </w:r>
      <w:r>
        <w:rPr>
          <w:rFonts w:ascii="Times New Roman" w:hAnsi="Times New Roman" w:cs="Times New Roman"/>
          <w:sz w:val="24"/>
          <w:szCs w:val="24"/>
        </w:rPr>
        <w:t xml:space="preserve"> όπως φαίνεται στον πίνακα 5</w:t>
      </w:r>
      <w:r w:rsidR="00D17649">
        <w:rPr>
          <w:rFonts w:ascii="Times New Roman" w:hAnsi="Times New Roman" w:cs="Times New Roman"/>
          <w:sz w:val="24"/>
          <w:szCs w:val="24"/>
        </w:rPr>
        <w:t>,</w:t>
      </w:r>
      <w:r>
        <w:rPr>
          <w:rFonts w:ascii="Times New Roman" w:hAnsi="Times New Roman" w:cs="Times New Roman"/>
          <w:sz w:val="24"/>
          <w:szCs w:val="24"/>
        </w:rPr>
        <w:t xml:space="preserve"> οι επιχειρήσεις που ανέστειλαν την λειτουργία τους με κρατική εντολή καθώς και οι επιχειρήσεις εστίασης είναι εκείνες που αντιμετωπίζουν τα σοβαρότερα προβλήματα ρευστότητας. </w:t>
      </w:r>
      <w:r w:rsidR="00A9257F" w:rsidRPr="009244EA">
        <w:rPr>
          <w:rFonts w:ascii="Times New Roman" w:hAnsi="Times New Roman" w:cs="Times New Roman"/>
          <w:sz w:val="24"/>
          <w:szCs w:val="24"/>
        </w:rPr>
        <w:t>Συγκεκριμένα</w:t>
      </w:r>
      <w:r w:rsidR="00D17649">
        <w:rPr>
          <w:rFonts w:ascii="Times New Roman" w:hAnsi="Times New Roman" w:cs="Times New Roman"/>
          <w:sz w:val="24"/>
          <w:szCs w:val="24"/>
        </w:rPr>
        <w:t>,</w:t>
      </w:r>
      <w:r w:rsidR="00A9257F" w:rsidRPr="009244EA">
        <w:rPr>
          <w:rFonts w:ascii="Times New Roman" w:hAnsi="Times New Roman" w:cs="Times New Roman"/>
          <w:sz w:val="24"/>
          <w:szCs w:val="24"/>
        </w:rPr>
        <w:t xml:space="preserve"> </w:t>
      </w:r>
      <w:bookmarkStart w:id="13" w:name="_Hlk68075045"/>
      <w:r w:rsidR="00A9257F" w:rsidRPr="009244EA">
        <w:rPr>
          <w:rFonts w:ascii="Times New Roman" w:hAnsi="Times New Roman" w:cs="Times New Roman"/>
          <w:sz w:val="24"/>
          <w:szCs w:val="24"/>
        </w:rPr>
        <w:t xml:space="preserve">το </w:t>
      </w:r>
      <w:r w:rsidRPr="009244EA">
        <w:rPr>
          <w:rFonts w:ascii="Times New Roman" w:hAnsi="Times New Roman" w:cs="Times New Roman"/>
          <w:sz w:val="24"/>
          <w:szCs w:val="24"/>
        </w:rPr>
        <w:t>73,2</w:t>
      </w:r>
      <w:r w:rsidR="00A9257F" w:rsidRPr="009244EA">
        <w:rPr>
          <w:rFonts w:ascii="Times New Roman" w:hAnsi="Times New Roman" w:cs="Times New Roman"/>
          <w:sz w:val="24"/>
          <w:szCs w:val="24"/>
        </w:rPr>
        <w:t>% των επιχειρήσεων</w:t>
      </w:r>
      <w:r w:rsidRPr="009244EA">
        <w:rPr>
          <w:rFonts w:ascii="Times New Roman" w:hAnsi="Times New Roman" w:cs="Times New Roman"/>
          <w:sz w:val="24"/>
          <w:szCs w:val="24"/>
        </w:rPr>
        <w:t xml:space="preserve"> που ανέστειλαν τη λειτουργ</w:t>
      </w:r>
      <w:r w:rsidR="00D17649">
        <w:rPr>
          <w:rFonts w:ascii="Times New Roman" w:hAnsi="Times New Roman" w:cs="Times New Roman"/>
          <w:sz w:val="24"/>
          <w:szCs w:val="24"/>
        </w:rPr>
        <w:t>ία</w:t>
      </w:r>
      <w:r w:rsidRPr="009244EA">
        <w:rPr>
          <w:rFonts w:ascii="Times New Roman" w:hAnsi="Times New Roman" w:cs="Times New Roman"/>
          <w:sz w:val="24"/>
          <w:szCs w:val="24"/>
        </w:rPr>
        <w:t xml:space="preserve"> τους με κρατική εντολή</w:t>
      </w:r>
      <w:r w:rsidR="00A9257F" w:rsidRPr="009244EA">
        <w:rPr>
          <w:rFonts w:ascii="Times New Roman" w:hAnsi="Times New Roman" w:cs="Times New Roman"/>
          <w:sz w:val="24"/>
          <w:szCs w:val="24"/>
        </w:rPr>
        <w:t xml:space="preserve"> δήλωσε ότι</w:t>
      </w:r>
      <w:r w:rsidR="00425E4A" w:rsidRPr="009244EA">
        <w:rPr>
          <w:rFonts w:ascii="Times New Roman" w:hAnsi="Times New Roman" w:cs="Times New Roman"/>
          <w:sz w:val="24"/>
          <w:szCs w:val="24"/>
        </w:rPr>
        <w:t xml:space="preserve"> το </w:t>
      </w:r>
      <w:r w:rsidRPr="009244EA">
        <w:rPr>
          <w:rFonts w:ascii="Times New Roman" w:hAnsi="Times New Roman" w:cs="Times New Roman"/>
          <w:sz w:val="24"/>
          <w:szCs w:val="24"/>
        </w:rPr>
        <w:t>Α</w:t>
      </w:r>
      <w:r w:rsidR="00425E4A" w:rsidRPr="009244EA">
        <w:rPr>
          <w:rFonts w:ascii="Times New Roman" w:hAnsi="Times New Roman" w:cs="Times New Roman"/>
          <w:sz w:val="24"/>
          <w:szCs w:val="24"/>
        </w:rPr>
        <w:t xml:space="preserve"> εξάμηνο του 202</w:t>
      </w:r>
      <w:r w:rsidRPr="009244EA">
        <w:rPr>
          <w:rFonts w:ascii="Times New Roman" w:hAnsi="Times New Roman" w:cs="Times New Roman"/>
          <w:sz w:val="24"/>
          <w:szCs w:val="24"/>
        </w:rPr>
        <w:t>1</w:t>
      </w:r>
      <w:r w:rsidR="00A9257F" w:rsidRPr="009244EA">
        <w:rPr>
          <w:rFonts w:ascii="Times New Roman" w:hAnsi="Times New Roman" w:cs="Times New Roman"/>
          <w:sz w:val="24"/>
          <w:szCs w:val="24"/>
        </w:rPr>
        <w:t xml:space="preserve"> μειώθηκε</w:t>
      </w:r>
      <w:r w:rsidR="00425E4A" w:rsidRPr="009244EA">
        <w:rPr>
          <w:rFonts w:ascii="Times New Roman" w:hAnsi="Times New Roman" w:cs="Times New Roman"/>
          <w:sz w:val="24"/>
          <w:szCs w:val="24"/>
        </w:rPr>
        <w:t xml:space="preserve"> περεταίρω η ρευστότητα</w:t>
      </w:r>
      <w:r w:rsidR="006D0D98" w:rsidRPr="009244EA">
        <w:rPr>
          <w:rFonts w:ascii="Times New Roman" w:hAnsi="Times New Roman" w:cs="Times New Roman"/>
          <w:sz w:val="24"/>
          <w:szCs w:val="24"/>
        </w:rPr>
        <w:t xml:space="preserve"> του</w:t>
      </w:r>
      <w:r w:rsidR="00A9257F" w:rsidRPr="009244EA">
        <w:rPr>
          <w:rFonts w:ascii="Times New Roman" w:hAnsi="Times New Roman" w:cs="Times New Roman"/>
          <w:sz w:val="24"/>
          <w:szCs w:val="24"/>
        </w:rPr>
        <w:t xml:space="preserve">, </w:t>
      </w:r>
      <w:r w:rsidR="00425E4A" w:rsidRPr="009244EA">
        <w:rPr>
          <w:rFonts w:ascii="Times New Roman" w:hAnsi="Times New Roman" w:cs="Times New Roman"/>
          <w:sz w:val="24"/>
          <w:szCs w:val="24"/>
        </w:rPr>
        <w:t>έναντι</w:t>
      </w:r>
      <w:r w:rsidR="00A9257F" w:rsidRPr="009244EA">
        <w:rPr>
          <w:rFonts w:ascii="Times New Roman" w:hAnsi="Times New Roman" w:cs="Times New Roman"/>
          <w:sz w:val="24"/>
          <w:szCs w:val="24"/>
        </w:rPr>
        <w:t xml:space="preserve"> μόλις το</w:t>
      </w:r>
      <w:r w:rsidR="00425E4A" w:rsidRPr="009244EA">
        <w:rPr>
          <w:rFonts w:ascii="Times New Roman" w:hAnsi="Times New Roman" w:cs="Times New Roman"/>
          <w:sz w:val="24"/>
          <w:szCs w:val="24"/>
        </w:rPr>
        <w:t>υ</w:t>
      </w:r>
      <w:r w:rsidR="00A9257F" w:rsidRPr="009244EA">
        <w:rPr>
          <w:rFonts w:ascii="Times New Roman" w:hAnsi="Times New Roman" w:cs="Times New Roman"/>
          <w:sz w:val="24"/>
          <w:szCs w:val="24"/>
        </w:rPr>
        <w:t xml:space="preserve"> </w:t>
      </w:r>
      <w:r w:rsidRPr="009244EA">
        <w:rPr>
          <w:rFonts w:ascii="Times New Roman" w:hAnsi="Times New Roman" w:cs="Times New Roman"/>
          <w:sz w:val="24"/>
          <w:szCs w:val="24"/>
        </w:rPr>
        <w:t>8,9</w:t>
      </w:r>
      <w:r w:rsidR="00A9257F" w:rsidRPr="009244EA">
        <w:rPr>
          <w:rFonts w:ascii="Times New Roman" w:hAnsi="Times New Roman" w:cs="Times New Roman"/>
          <w:sz w:val="24"/>
          <w:szCs w:val="24"/>
        </w:rPr>
        <w:t xml:space="preserve">% </w:t>
      </w:r>
      <w:r w:rsidR="00425E4A" w:rsidRPr="009244EA">
        <w:rPr>
          <w:rFonts w:ascii="Times New Roman" w:hAnsi="Times New Roman" w:cs="Times New Roman"/>
          <w:sz w:val="24"/>
          <w:szCs w:val="24"/>
        </w:rPr>
        <w:t xml:space="preserve">που </w:t>
      </w:r>
      <w:r w:rsidR="00A9257F" w:rsidRPr="009244EA">
        <w:rPr>
          <w:rFonts w:ascii="Times New Roman" w:hAnsi="Times New Roman" w:cs="Times New Roman"/>
          <w:sz w:val="24"/>
          <w:szCs w:val="24"/>
        </w:rPr>
        <w:t>δήλωσε ότι αυξήθηκε και το</w:t>
      </w:r>
      <w:r w:rsidR="00425E4A" w:rsidRPr="009244EA">
        <w:rPr>
          <w:rFonts w:ascii="Times New Roman" w:hAnsi="Times New Roman" w:cs="Times New Roman"/>
          <w:sz w:val="24"/>
          <w:szCs w:val="24"/>
        </w:rPr>
        <w:t>υ</w:t>
      </w:r>
      <w:r w:rsidR="00A9257F" w:rsidRPr="009244EA">
        <w:rPr>
          <w:rFonts w:ascii="Times New Roman" w:hAnsi="Times New Roman" w:cs="Times New Roman"/>
          <w:sz w:val="24"/>
          <w:szCs w:val="24"/>
        </w:rPr>
        <w:t xml:space="preserve"> </w:t>
      </w:r>
      <w:r w:rsidRPr="009244EA">
        <w:rPr>
          <w:rFonts w:ascii="Times New Roman" w:hAnsi="Times New Roman" w:cs="Times New Roman"/>
          <w:sz w:val="24"/>
          <w:szCs w:val="24"/>
        </w:rPr>
        <w:t>14,7</w:t>
      </w:r>
      <w:r w:rsidR="00A9257F" w:rsidRPr="009244EA">
        <w:rPr>
          <w:rFonts w:ascii="Times New Roman" w:hAnsi="Times New Roman" w:cs="Times New Roman"/>
          <w:sz w:val="24"/>
          <w:szCs w:val="24"/>
        </w:rPr>
        <w:t xml:space="preserve">% </w:t>
      </w:r>
      <w:r w:rsidR="00425E4A" w:rsidRPr="009244EA">
        <w:rPr>
          <w:rFonts w:ascii="Times New Roman" w:hAnsi="Times New Roman" w:cs="Times New Roman"/>
          <w:sz w:val="24"/>
          <w:szCs w:val="24"/>
        </w:rPr>
        <w:t xml:space="preserve">που δήλωσε </w:t>
      </w:r>
      <w:r w:rsidR="00A9257F" w:rsidRPr="009244EA">
        <w:rPr>
          <w:rFonts w:ascii="Times New Roman" w:hAnsi="Times New Roman" w:cs="Times New Roman"/>
          <w:sz w:val="24"/>
          <w:szCs w:val="24"/>
        </w:rPr>
        <w:t>ότι παρέμεινε σταθερή</w:t>
      </w:r>
      <w:bookmarkEnd w:id="13"/>
      <w:r w:rsidR="00A9257F" w:rsidRPr="009244EA">
        <w:rPr>
          <w:rFonts w:ascii="Times New Roman" w:hAnsi="Times New Roman" w:cs="Times New Roman"/>
          <w:sz w:val="24"/>
          <w:szCs w:val="24"/>
        </w:rPr>
        <w:t xml:space="preserve">. </w:t>
      </w:r>
      <w:r w:rsidRPr="009244EA">
        <w:rPr>
          <w:rFonts w:ascii="Times New Roman" w:hAnsi="Times New Roman" w:cs="Times New Roman"/>
          <w:sz w:val="24"/>
          <w:szCs w:val="24"/>
        </w:rPr>
        <w:t xml:space="preserve">Στον αντίποδα οι </w:t>
      </w:r>
      <w:r w:rsidRPr="009244EA">
        <w:rPr>
          <w:rFonts w:ascii="Times New Roman" w:hAnsi="Times New Roman" w:cs="Times New Roman"/>
          <w:sz w:val="24"/>
          <w:szCs w:val="24"/>
        </w:rPr>
        <w:lastRenderedPageBreak/>
        <w:t xml:space="preserve">επιχειρήσεις που δεν ανήκαν στα ειδικά καθεστώτα ενίσχυσης επιχειρήσεων παρουσιάζουν τα καλύτερα στοιχεία καθώς το 21,6% δήλωσε πως αυξήθηκε η ρευστότητα του έναντι του 38,8% που δήλωσε πως μειώθηκε και του 38% που παρέμεινε  αμετάβλητη. </w:t>
      </w:r>
      <w:bookmarkEnd w:id="12"/>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09"/>
        <w:gridCol w:w="2185"/>
        <w:gridCol w:w="2064"/>
        <w:gridCol w:w="2164"/>
        <w:gridCol w:w="2150"/>
      </w:tblGrid>
      <w:tr w:rsidR="00425E4A" w:rsidRPr="00E36734" w14:paraId="627CF75C" w14:textId="6FFC0538" w:rsidTr="00425E4A">
        <w:trPr>
          <w:trHeight w:val="458"/>
        </w:trPr>
        <w:tc>
          <w:tcPr>
            <w:tcW w:w="1809" w:type="dxa"/>
            <w:vMerge w:val="restart"/>
            <w:shd w:val="clear" w:color="auto" w:fill="FDEADA"/>
            <w:tcMar>
              <w:top w:w="12" w:type="dxa"/>
              <w:left w:w="12" w:type="dxa"/>
              <w:bottom w:w="0" w:type="dxa"/>
              <w:right w:w="12" w:type="dxa"/>
            </w:tcMar>
            <w:vAlign w:val="bottom"/>
            <w:hideMark/>
          </w:tcPr>
          <w:p w14:paraId="71C964F2" w14:textId="67C36F63" w:rsidR="006D0D98" w:rsidRPr="00E36734" w:rsidRDefault="003F27D9" w:rsidP="00425E4A">
            <w:pPr>
              <w:spacing w:line="240" w:lineRule="auto"/>
              <w:jc w:val="center"/>
              <w:rPr>
                <w:rFonts w:eastAsia="Times New Roman" w:cstheme="minorHAnsi"/>
                <w:b/>
                <w:bCs/>
                <w:sz w:val="20"/>
                <w:szCs w:val="20"/>
              </w:rPr>
            </w:pPr>
            <w:bookmarkStart w:id="14" w:name="_Hlk67916229"/>
            <w:r>
              <w:rPr>
                <w:rFonts w:eastAsia="Times New Roman" w:cstheme="minorHAnsi"/>
                <w:b/>
                <w:bCs/>
                <w:sz w:val="20"/>
                <w:szCs w:val="20"/>
              </w:rPr>
              <w:t>Πίνακας 5</w:t>
            </w:r>
          </w:p>
          <w:p w14:paraId="6B40CCD5" w14:textId="1B961074" w:rsidR="00425E4A" w:rsidRPr="00E36734" w:rsidRDefault="00425E4A" w:rsidP="00425E4A">
            <w:pPr>
              <w:spacing w:line="240" w:lineRule="auto"/>
              <w:jc w:val="center"/>
              <w:rPr>
                <w:rFonts w:eastAsia="Times New Roman" w:cstheme="minorHAnsi"/>
                <w:sz w:val="18"/>
                <w:szCs w:val="18"/>
              </w:rPr>
            </w:pPr>
            <w:r w:rsidRPr="00E36734">
              <w:rPr>
                <w:rFonts w:eastAsia="Times New Roman" w:cstheme="minorHAnsi"/>
                <w:sz w:val="18"/>
                <w:szCs w:val="18"/>
              </w:rPr>
              <w:t>Η ρευστότητα της επιχε</w:t>
            </w:r>
            <w:r w:rsidR="004D3693" w:rsidRPr="00E36734">
              <w:rPr>
                <w:rFonts w:eastAsia="Times New Roman" w:cstheme="minorHAnsi"/>
                <w:sz w:val="18"/>
                <w:szCs w:val="18"/>
              </w:rPr>
              <w:t>ί</w:t>
            </w:r>
            <w:r w:rsidRPr="00E36734">
              <w:rPr>
                <w:rFonts w:eastAsia="Times New Roman" w:cstheme="minorHAnsi"/>
                <w:sz w:val="18"/>
                <w:szCs w:val="18"/>
              </w:rPr>
              <w:t>ρ</w:t>
            </w:r>
            <w:r w:rsidR="004D3693" w:rsidRPr="00E36734">
              <w:rPr>
                <w:rFonts w:eastAsia="Times New Roman" w:cstheme="minorHAnsi"/>
                <w:sz w:val="18"/>
                <w:szCs w:val="18"/>
              </w:rPr>
              <w:t>η</w:t>
            </w:r>
            <w:r w:rsidRPr="00E36734">
              <w:rPr>
                <w:rFonts w:eastAsia="Times New Roman" w:cstheme="minorHAnsi"/>
                <w:sz w:val="18"/>
                <w:szCs w:val="18"/>
              </w:rPr>
              <w:t xml:space="preserve">σή σας το </w:t>
            </w:r>
            <w:r w:rsidR="002D33B1">
              <w:rPr>
                <w:rFonts w:eastAsia="Times New Roman" w:cstheme="minorHAnsi"/>
                <w:sz w:val="18"/>
                <w:szCs w:val="18"/>
              </w:rPr>
              <w:t>Α</w:t>
            </w:r>
            <w:r w:rsidRPr="00E36734">
              <w:rPr>
                <w:rFonts w:eastAsia="Times New Roman" w:cstheme="minorHAnsi"/>
                <w:sz w:val="18"/>
                <w:szCs w:val="18"/>
              </w:rPr>
              <w:t xml:space="preserve"> εξάμηνο του 202</w:t>
            </w:r>
            <w:r w:rsidR="002D33B1">
              <w:rPr>
                <w:rFonts w:eastAsia="Times New Roman" w:cstheme="minorHAnsi"/>
                <w:sz w:val="18"/>
                <w:szCs w:val="18"/>
              </w:rPr>
              <w:t>1</w:t>
            </w:r>
            <w:r w:rsidRPr="00E36734">
              <w:rPr>
                <w:rFonts w:eastAsia="Times New Roman" w:cstheme="minorHAnsi"/>
                <w:sz w:val="18"/>
                <w:szCs w:val="18"/>
              </w:rPr>
              <w:t>:</w:t>
            </w:r>
          </w:p>
        </w:tc>
        <w:tc>
          <w:tcPr>
            <w:tcW w:w="6413" w:type="dxa"/>
            <w:gridSpan w:val="3"/>
            <w:shd w:val="clear" w:color="auto" w:fill="FDEADA"/>
            <w:tcMar>
              <w:top w:w="12" w:type="dxa"/>
              <w:left w:w="12" w:type="dxa"/>
              <w:bottom w:w="0" w:type="dxa"/>
              <w:right w:w="12" w:type="dxa"/>
            </w:tcMar>
            <w:vAlign w:val="center"/>
            <w:hideMark/>
          </w:tcPr>
          <w:p w14:paraId="2FFEF154" w14:textId="77777777" w:rsidR="00425E4A" w:rsidRPr="00E36734" w:rsidRDefault="00425E4A" w:rsidP="00425E4A">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2150" w:type="dxa"/>
            <w:vMerge w:val="restart"/>
            <w:shd w:val="clear" w:color="auto" w:fill="FDEADA"/>
          </w:tcPr>
          <w:p w14:paraId="458C565D" w14:textId="77777777"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p>
          <w:p w14:paraId="4FD0665F" w14:textId="77777777"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p>
          <w:p w14:paraId="74A56A75" w14:textId="33DA1124"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Επιχειρήσεις</w:t>
            </w:r>
          </w:p>
          <w:p w14:paraId="32612E34" w14:textId="226415CF"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 εστίασης</w:t>
            </w:r>
          </w:p>
        </w:tc>
      </w:tr>
      <w:tr w:rsidR="00425E4A" w:rsidRPr="00E36734" w14:paraId="724CD7A0" w14:textId="55365A47" w:rsidTr="00425E4A">
        <w:trPr>
          <w:trHeight w:val="872"/>
        </w:trPr>
        <w:tc>
          <w:tcPr>
            <w:tcW w:w="1809" w:type="dxa"/>
            <w:vMerge/>
            <w:shd w:val="clear" w:color="auto" w:fill="FDEADA"/>
            <w:tcMar>
              <w:top w:w="12" w:type="dxa"/>
              <w:left w:w="12" w:type="dxa"/>
              <w:bottom w:w="0" w:type="dxa"/>
              <w:right w:w="12" w:type="dxa"/>
            </w:tcMar>
            <w:vAlign w:val="bottom"/>
            <w:hideMark/>
          </w:tcPr>
          <w:p w14:paraId="6F2A6813" w14:textId="77777777" w:rsidR="00425E4A" w:rsidRPr="00E36734" w:rsidRDefault="00425E4A" w:rsidP="00425E4A">
            <w:pPr>
              <w:spacing w:after="0" w:line="240" w:lineRule="auto"/>
              <w:jc w:val="center"/>
              <w:rPr>
                <w:rFonts w:eastAsia="Times New Roman" w:cstheme="minorHAnsi"/>
                <w:sz w:val="18"/>
                <w:szCs w:val="18"/>
              </w:rPr>
            </w:pPr>
          </w:p>
        </w:tc>
        <w:tc>
          <w:tcPr>
            <w:tcW w:w="2185" w:type="dxa"/>
            <w:shd w:val="clear" w:color="auto" w:fill="FDEADA"/>
            <w:tcMar>
              <w:top w:w="12" w:type="dxa"/>
              <w:left w:w="12" w:type="dxa"/>
              <w:bottom w:w="0" w:type="dxa"/>
              <w:right w:w="12" w:type="dxa"/>
            </w:tcMar>
            <w:vAlign w:val="center"/>
            <w:hideMark/>
          </w:tcPr>
          <w:p w14:paraId="48E79112" w14:textId="77777777" w:rsidR="00425E4A" w:rsidRPr="00E36734" w:rsidRDefault="00425E4A" w:rsidP="00425E4A">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ανέστειλαν την δραστηριότητα τους με κρατική εντολή</w:t>
            </w:r>
          </w:p>
        </w:tc>
        <w:tc>
          <w:tcPr>
            <w:tcW w:w="2064" w:type="dxa"/>
            <w:shd w:val="clear" w:color="auto" w:fill="FDEADA"/>
            <w:tcMar>
              <w:top w:w="12" w:type="dxa"/>
              <w:left w:w="12" w:type="dxa"/>
              <w:bottom w:w="0" w:type="dxa"/>
              <w:right w:w="12" w:type="dxa"/>
            </w:tcMar>
            <w:vAlign w:val="center"/>
            <w:hideMark/>
          </w:tcPr>
          <w:p w14:paraId="76B5363A" w14:textId="77777777" w:rsidR="00425E4A" w:rsidRPr="00E36734" w:rsidRDefault="00425E4A" w:rsidP="00425E4A">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ανήκαν στις πληττόμενες βάσει ΚΑΔ επιχειρήσεις</w:t>
            </w:r>
          </w:p>
        </w:tc>
        <w:tc>
          <w:tcPr>
            <w:tcW w:w="2164" w:type="dxa"/>
            <w:shd w:val="clear" w:color="auto" w:fill="FDEADA"/>
            <w:tcMar>
              <w:top w:w="12" w:type="dxa"/>
              <w:left w:w="12" w:type="dxa"/>
              <w:bottom w:w="0" w:type="dxa"/>
              <w:right w:w="12" w:type="dxa"/>
            </w:tcMar>
            <w:vAlign w:val="center"/>
            <w:hideMark/>
          </w:tcPr>
          <w:p w14:paraId="20EE5558" w14:textId="7B54FC3F" w:rsidR="00425E4A" w:rsidRPr="00E36734" w:rsidRDefault="00D17649"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δ</w:t>
            </w:r>
            <w:r w:rsidR="00425E4A" w:rsidRPr="00E36734">
              <w:rPr>
                <w:rFonts w:eastAsia="Microsoft JhengHei UI" w:cstheme="minorHAnsi"/>
                <w:color w:val="000000"/>
                <w:kern w:val="24"/>
                <w:sz w:val="18"/>
                <w:szCs w:val="18"/>
              </w:rPr>
              <w:t>εν ανήκαν σε καμία από τις παρακείμενες κατηγορίες</w:t>
            </w:r>
          </w:p>
        </w:tc>
        <w:tc>
          <w:tcPr>
            <w:tcW w:w="2150" w:type="dxa"/>
            <w:vMerge/>
            <w:shd w:val="clear" w:color="auto" w:fill="FDEADA"/>
          </w:tcPr>
          <w:p w14:paraId="21324A62" w14:textId="77777777"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p>
        </w:tc>
      </w:tr>
      <w:tr w:rsidR="00425E4A" w:rsidRPr="00E36734" w14:paraId="730912FF" w14:textId="215C5D5B" w:rsidTr="00E55E93">
        <w:trPr>
          <w:trHeight w:val="458"/>
        </w:trPr>
        <w:tc>
          <w:tcPr>
            <w:tcW w:w="1809" w:type="dxa"/>
            <w:shd w:val="clear" w:color="auto" w:fill="auto"/>
            <w:tcMar>
              <w:top w:w="12" w:type="dxa"/>
              <w:left w:w="12" w:type="dxa"/>
              <w:bottom w:w="0" w:type="dxa"/>
              <w:right w:w="12" w:type="dxa"/>
            </w:tcMar>
            <w:vAlign w:val="center"/>
            <w:hideMark/>
          </w:tcPr>
          <w:p w14:paraId="08F8F9FB"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αυξήθηκε</w:t>
            </w:r>
          </w:p>
        </w:tc>
        <w:tc>
          <w:tcPr>
            <w:tcW w:w="2185" w:type="dxa"/>
            <w:shd w:val="clear" w:color="auto" w:fill="auto"/>
            <w:tcMar>
              <w:top w:w="12" w:type="dxa"/>
              <w:left w:w="12" w:type="dxa"/>
              <w:bottom w:w="0" w:type="dxa"/>
              <w:right w:w="12" w:type="dxa"/>
            </w:tcMar>
            <w:vAlign w:val="center"/>
            <w:hideMark/>
          </w:tcPr>
          <w:p w14:paraId="529AD88A" w14:textId="20CFC48F"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8,9</w:t>
            </w:r>
          </w:p>
        </w:tc>
        <w:tc>
          <w:tcPr>
            <w:tcW w:w="2064" w:type="dxa"/>
            <w:shd w:val="clear" w:color="auto" w:fill="auto"/>
            <w:tcMar>
              <w:top w:w="12" w:type="dxa"/>
              <w:left w:w="12" w:type="dxa"/>
              <w:bottom w:w="0" w:type="dxa"/>
              <w:right w:w="12" w:type="dxa"/>
            </w:tcMar>
            <w:vAlign w:val="center"/>
            <w:hideMark/>
          </w:tcPr>
          <w:p w14:paraId="1972157B" w14:textId="423C7D56"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14,9</w:t>
            </w:r>
          </w:p>
        </w:tc>
        <w:tc>
          <w:tcPr>
            <w:tcW w:w="2164" w:type="dxa"/>
            <w:shd w:val="clear" w:color="auto" w:fill="auto"/>
            <w:tcMar>
              <w:top w:w="12" w:type="dxa"/>
              <w:left w:w="12" w:type="dxa"/>
              <w:bottom w:w="0" w:type="dxa"/>
              <w:right w:w="12" w:type="dxa"/>
            </w:tcMar>
            <w:vAlign w:val="center"/>
            <w:hideMark/>
          </w:tcPr>
          <w:p w14:paraId="48AEC003" w14:textId="450F5E75"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21,6</w:t>
            </w:r>
          </w:p>
        </w:tc>
        <w:tc>
          <w:tcPr>
            <w:tcW w:w="2150" w:type="dxa"/>
            <w:shd w:val="clear" w:color="auto" w:fill="auto"/>
            <w:vAlign w:val="center"/>
          </w:tcPr>
          <w:p w14:paraId="6F763809" w14:textId="2435C63E" w:rsidR="00425E4A" w:rsidRPr="00E36734" w:rsidRDefault="002D33B1" w:rsidP="00425E4A">
            <w:pPr>
              <w:spacing w:after="0" w:line="240" w:lineRule="auto"/>
              <w:jc w:val="center"/>
              <w:textAlignment w:val="center"/>
              <w:rPr>
                <w:rFonts w:eastAsia="Microsoft JhengHei UI" w:cstheme="minorHAnsi"/>
                <w:color w:val="000000"/>
                <w:kern w:val="24"/>
                <w:sz w:val="18"/>
                <w:szCs w:val="18"/>
              </w:rPr>
            </w:pPr>
            <w:r>
              <w:rPr>
                <w:rFonts w:eastAsia="Microsoft JhengHei UI" w:cstheme="minorHAnsi"/>
                <w:color w:val="000000"/>
                <w:kern w:val="24"/>
                <w:sz w:val="18"/>
                <w:szCs w:val="18"/>
              </w:rPr>
              <w:t>9,3</w:t>
            </w:r>
          </w:p>
        </w:tc>
      </w:tr>
      <w:tr w:rsidR="00425E4A" w:rsidRPr="00E36734" w14:paraId="25A730F8" w14:textId="25509227" w:rsidTr="00E55E93">
        <w:trPr>
          <w:trHeight w:val="458"/>
        </w:trPr>
        <w:tc>
          <w:tcPr>
            <w:tcW w:w="1809" w:type="dxa"/>
            <w:shd w:val="clear" w:color="auto" w:fill="auto"/>
            <w:tcMar>
              <w:top w:w="12" w:type="dxa"/>
              <w:left w:w="12" w:type="dxa"/>
              <w:bottom w:w="0" w:type="dxa"/>
              <w:right w:w="12" w:type="dxa"/>
            </w:tcMar>
            <w:vAlign w:val="center"/>
            <w:hideMark/>
          </w:tcPr>
          <w:p w14:paraId="3E2AADA8"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μειώθηκε</w:t>
            </w:r>
          </w:p>
        </w:tc>
        <w:tc>
          <w:tcPr>
            <w:tcW w:w="2185" w:type="dxa"/>
            <w:shd w:val="clear" w:color="auto" w:fill="auto"/>
            <w:tcMar>
              <w:top w:w="12" w:type="dxa"/>
              <w:left w:w="12" w:type="dxa"/>
              <w:bottom w:w="0" w:type="dxa"/>
              <w:right w:w="12" w:type="dxa"/>
            </w:tcMar>
            <w:vAlign w:val="center"/>
            <w:hideMark/>
          </w:tcPr>
          <w:p w14:paraId="0654EAF7" w14:textId="4D8F010E"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73,2</w:t>
            </w:r>
          </w:p>
        </w:tc>
        <w:tc>
          <w:tcPr>
            <w:tcW w:w="2064" w:type="dxa"/>
            <w:shd w:val="clear" w:color="auto" w:fill="auto"/>
            <w:tcMar>
              <w:top w:w="12" w:type="dxa"/>
              <w:left w:w="12" w:type="dxa"/>
              <w:bottom w:w="0" w:type="dxa"/>
              <w:right w:w="12" w:type="dxa"/>
            </w:tcMar>
            <w:vAlign w:val="center"/>
            <w:hideMark/>
          </w:tcPr>
          <w:p w14:paraId="02C6AC8C" w14:textId="2DA75F3C"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57,3</w:t>
            </w:r>
          </w:p>
        </w:tc>
        <w:tc>
          <w:tcPr>
            <w:tcW w:w="2164" w:type="dxa"/>
            <w:shd w:val="clear" w:color="auto" w:fill="auto"/>
            <w:tcMar>
              <w:top w:w="12" w:type="dxa"/>
              <w:left w:w="12" w:type="dxa"/>
              <w:bottom w:w="0" w:type="dxa"/>
              <w:right w:w="12" w:type="dxa"/>
            </w:tcMar>
            <w:vAlign w:val="center"/>
            <w:hideMark/>
          </w:tcPr>
          <w:p w14:paraId="1AD62DC9" w14:textId="0DAC8594"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38,8</w:t>
            </w:r>
          </w:p>
        </w:tc>
        <w:tc>
          <w:tcPr>
            <w:tcW w:w="2150" w:type="dxa"/>
            <w:shd w:val="clear" w:color="auto" w:fill="auto"/>
            <w:vAlign w:val="center"/>
          </w:tcPr>
          <w:p w14:paraId="1F03B6C4" w14:textId="713B081A" w:rsidR="00425E4A" w:rsidRPr="00E36734" w:rsidRDefault="002D33B1" w:rsidP="00425E4A">
            <w:pPr>
              <w:spacing w:after="0" w:line="240" w:lineRule="auto"/>
              <w:jc w:val="center"/>
              <w:textAlignment w:val="center"/>
              <w:rPr>
                <w:rFonts w:eastAsia="Microsoft JhengHei UI" w:cstheme="minorHAnsi"/>
                <w:color w:val="000000"/>
                <w:kern w:val="24"/>
                <w:sz w:val="18"/>
                <w:szCs w:val="18"/>
              </w:rPr>
            </w:pPr>
            <w:r>
              <w:rPr>
                <w:rFonts w:eastAsia="Microsoft JhengHei UI" w:cstheme="minorHAnsi"/>
                <w:color w:val="000000"/>
                <w:kern w:val="24"/>
                <w:sz w:val="18"/>
                <w:szCs w:val="18"/>
              </w:rPr>
              <w:t>70,1</w:t>
            </w:r>
          </w:p>
        </w:tc>
      </w:tr>
      <w:tr w:rsidR="00425E4A" w:rsidRPr="00E36734" w14:paraId="646DD807" w14:textId="6C873373" w:rsidTr="00E55E93">
        <w:trPr>
          <w:trHeight w:val="458"/>
        </w:trPr>
        <w:tc>
          <w:tcPr>
            <w:tcW w:w="1809" w:type="dxa"/>
            <w:shd w:val="clear" w:color="auto" w:fill="auto"/>
            <w:tcMar>
              <w:top w:w="12" w:type="dxa"/>
              <w:left w:w="12" w:type="dxa"/>
              <w:bottom w:w="0" w:type="dxa"/>
              <w:right w:w="12" w:type="dxa"/>
            </w:tcMar>
            <w:vAlign w:val="center"/>
            <w:hideMark/>
          </w:tcPr>
          <w:p w14:paraId="1A0E6660"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αμετάβλητη</w:t>
            </w:r>
          </w:p>
        </w:tc>
        <w:tc>
          <w:tcPr>
            <w:tcW w:w="2185" w:type="dxa"/>
            <w:shd w:val="clear" w:color="auto" w:fill="auto"/>
            <w:tcMar>
              <w:top w:w="12" w:type="dxa"/>
              <w:left w:w="12" w:type="dxa"/>
              <w:bottom w:w="0" w:type="dxa"/>
              <w:right w:w="12" w:type="dxa"/>
            </w:tcMar>
            <w:vAlign w:val="center"/>
            <w:hideMark/>
          </w:tcPr>
          <w:p w14:paraId="357A20E8" w14:textId="3196BE41"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14,7</w:t>
            </w:r>
          </w:p>
        </w:tc>
        <w:tc>
          <w:tcPr>
            <w:tcW w:w="2064" w:type="dxa"/>
            <w:shd w:val="clear" w:color="auto" w:fill="auto"/>
            <w:tcMar>
              <w:top w:w="12" w:type="dxa"/>
              <w:left w:w="12" w:type="dxa"/>
              <w:bottom w:w="0" w:type="dxa"/>
              <w:right w:w="12" w:type="dxa"/>
            </w:tcMar>
            <w:vAlign w:val="center"/>
            <w:hideMark/>
          </w:tcPr>
          <w:p w14:paraId="294D2851" w14:textId="39F7D3E0"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27,8</w:t>
            </w:r>
          </w:p>
        </w:tc>
        <w:tc>
          <w:tcPr>
            <w:tcW w:w="2164" w:type="dxa"/>
            <w:shd w:val="clear" w:color="auto" w:fill="auto"/>
            <w:tcMar>
              <w:top w:w="12" w:type="dxa"/>
              <w:left w:w="12" w:type="dxa"/>
              <w:bottom w:w="0" w:type="dxa"/>
              <w:right w:w="12" w:type="dxa"/>
            </w:tcMar>
            <w:vAlign w:val="center"/>
            <w:hideMark/>
          </w:tcPr>
          <w:p w14:paraId="10108292" w14:textId="3095C476"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38,0</w:t>
            </w:r>
          </w:p>
        </w:tc>
        <w:tc>
          <w:tcPr>
            <w:tcW w:w="2150" w:type="dxa"/>
            <w:shd w:val="clear" w:color="auto" w:fill="auto"/>
            <w:vAlign w:val="center"/>
          </w:tcPr>
          <w:p w14:paraId="19CDB01A" w14:textId="5065511E" w:rsidR="00425E4A" w:rsidRPr="00E36734" w:rsidRDefault="002D33B1" w:rsidP="00425E4A">
            <w:pPr>
              <w:spacing w:after="0" w:line="240" w:lineRule="auto"/>
              <w:jc w:val="center"/>
              <w:textAlignment w:val="center"/>
              <w:rPr>
                <w:rFonts w:eastAsia="Microsoft JhengHei UI" w:cstheme="minorHAnsi"/>
                <w:color w:val="000000"/>
                <w:kern w:val="24"/>
                <w:sz w:val="18"/>
                <w:szCs w:val="18"/>
              </w:rPr>
            </w:pPr>
            <w:r>
              <w:rPr>
                <w:rFonts w:eastAsia="Microsoft JhengHei UI" w:cstheme="minorHAnsi"/>
                <w:color w:val="000000"/>
                <w:kern w:val="24"/>
                <w:sz w:val="18"/>
                <w:szCs w:val="18"/>
              </w:rPr>
              <w:t>17,5</w:t>
            </w:r>
          </w:p>
        </w:tc>
      </w:tr>
      <w:tr w:rsidR="00425E4A" w:rsidRPr="00E36734" w14:paraId="47204653" w14:textId="02E98986" w:rsidTr="00E55E93">
        <w:trPr>
          <w:trHeight w:val="458"/>
        </w:trPr>
        <w:tc>
          <w:tcPr>
            <w:tcW w:w="1809" w:type="dxa"/>
            <w:shd w:val="clear" w:color="auto" w:fill="auto"/>
            <w:tcMar>
              <w:top w:w="12" w:type="dxa"/>
              <w:left w:w="12" w:type="dxa"/>
              <w:bottom w:w="0" w:type="dxa"/>
              <w:right w:w="12" w:type="dxa"/>
            </w:tcMar>
            <w:vAlign w:val="center"/>
            <w:hideMark/>
          </w:tcPr>
          <w:p w14:paraId="65057F33"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Δ.Α</w:t>
            </w:r>
          </w:p>
        </w:tc>
        <w:tc>
          <w:tcPr>
            <w:tcW w:w="2185" w:type="dxa"/>
            <w:shd w:val="clear" w:color="auto" w:fill="auto"/>
            <w:tcMar>
              <w:top w:w="12" w:type="dxa"/>
              <w:left w:w="12" w:type="dxa"/>
              <w:bottom w:w="0" w:type="dxa"/>
              <w:right w:w="12" w:type="dxa"/>
            </w:tcMar>
            <w:vAlign w:val="center"/>
            <w:hideMark/>
          </w:tcPr>
          <w:p w14:paraId="1EEDAEA2" w14:textId="25B1C38A"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3,1</w:t>
            </w:r>
          </w:p>
        </w:tc>
        <w:tc>
          <w:tcPr>
            <w:tcW w:w="2064" w:type="dxa"/>
            <w:shd w:val="clear" w:color="auto" w:fill="auto"/>
            <w:tcMar>
              <w:top w:w="12" w:type="dxa"/>
              <w:left w:w="12" w:type="dxa"/>
              <w:bottom w:w="0" w:type="dxa"/>
              <w:right w:w="12" w:type="dxa"/>
            </w:tcMar>
            <w:vAlign w:val="center"/>
            <w:hideMark/>
          </w:tcPr>
          <w:p w14:paraId="1F512DEF" w14:textId="3E24FF7B"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0</w:t>
            </w:r>
          </w:p>
        </w:tc>
        <w:tc>
          <w:tcPr>
            <w:tcW w:w="2164" w:type="dxa"/>
            <w:shd w:val="clear" w:color="auto" w:fill="auto"/>
            <w:tcMar>
              <w:top w:w="12" w:type="dxa"/>
              <w:left w:w="12" w:type="dxa"/>
              <w:bottom w:w="0" w:type="dxa"/>
              <w:right w:w="12" w:type="dxa"/>
            </w:tcMar>
            <w:vAlign w:val="center"/>
            <w:hideMark/>
          </w:tcPr>
          <w:p w14:paraId="085BDC54" w14:textId="2053E1A5" w:rsidR="00425E4A" w:rsidRPr="002D33B1" w:rsidRDefault="002D33B1" w:rsidP="00425E4A">
            <w:pPr>
              <w:spacing w:after="0" w:line="240" w:lineRule="auto"/>
              <w:jc w:val="center"/>
              <w:textAlignment w:val="center"/>
              <w:rPr>
                <w:rFonts w:eastAsia="Times New Roman" w:cstheme="minorHAnsi"/>
                <w:sz w:val="18"/>
                <w:szCs w:val="18"/>
              </w:rPr>
            </w:pPr>
            <w:r>
              <w:rPr>
                <w:rFonts w:eastAsia="Microsoft JhengHei UI" w:cstheme="minorHAnsi"/>
                <w:color w:val="000000"/>
                <w:kern w:val="24"/>
                <w:sz w:val="18"/>
                <w:szCs w:val="18"/>
              </w:rPr>
              <w:t>1,6</w:t>
            </w:r>
          </w:p>
        </w:tc>
        <w:tc>
          <w:tcPr>
            <w:tcW w:w="2150" w:type="dxa"/>
            <w:shd w:val="clear" w:color="auto" w:fill="auto"/>
            <w:vAlign w:val="center"/>
          </w:tcPr>
          <w:p w14:paraId="544D965F" w14:textId="2A21D85B" w:rsidR="00425E4A" w:rsidRPr="00E36734" w:rsidRDefault="002D33B1" w:rsidP="00425E4A">
            <w:pPr>
              <w:spacing w:after="0" w:line="240" w:lineRule="auto"/>
              <w:jc w:val="center"/>
              <w:textAlignment w:val="center"/>
              <w:rPr>
                <w:rFonts w:eastAsia="Microsoft JhengHei UI" w:cstheme="minorHAnsi"/>
                <w:color w:val="000000"/>
                <w:kern w:val="24"/>
                <w:sz w:val="18"/>
                <w:szCs w:val="18"/>
                <w:lang w:val="en-US"/>
              </w:rPr>
            </w:pPr>
            <w:r>
              <w:rPr>
                <w:rFonts w:eastAsia="Microsoft JhengHei UI" w:cstheme="minorHAnsi"/>
                <w:color w:val="000000"/>
                <w:kern w:val="24"/>
                <w:sz w:val="18"/>
                <w:szCs w:val="18"/>
              </w:rPr>
              <w:t>3,1</w:t>
            </w:r>
          </w:p>
        </w:tc>
      </w:tr>
      <w:bookmarkEnd w:id="14"/>
    </w:tbl>
    <w:p w14:paraId="525F70A6" w14:textId="77777777" w:rsidR="00F90F82" w:rsidRDefault="00F90F82" w:rsidP="00761263">
      <w:pPr>
        <w:spacing w:after="0" w:line="360" w:lineRule="auto"/>
        <w:jc w:val="both"/>
        <w:rPr>
          <w:rFonts w:ascii="Times New Roman" w:hAnsi="Times New Roman" w:cs="Times New Roman"/>
          <w:sz w:val="24"/>
          <w:szCs w:val="24"/>
        </w:rPr>
      </w:pPr>
    </w:p>
    <w:p w14:paraId="125E7D0C" w14:textId="614F1B46" w:rsidR="001765DA" w:rsidRPr="00E36734" w:rsidRDefault="002E1ED4" w:rsidP="00761263">
      <w:pPr>
        <w:spacing w:after="0" w:line="360" w:lineRule="auto"/>
        <w:jc w:val="both"/>
        <w:rPr>
          <w:rFonts w:ascii="Times New Roman" w:hAnsi="Times New Roman" w:cs="Times New Roman"/>
          <w:sz w:val="24"/>
          <w:szCs w:val="24"/>
        </w:rPr>
      </w:pPr>
      <w:r w:rsidRPr="002E1ED4">
        <w:rPr>
          <w:rFonts w:ascii="Times New Roman" w:hAnsi="Times New Roman" w:cs="Times New Roman"/>
          <w:sz w:val="24"/>
          <w:szCs w:val="24"/>
        </w:rPr>
        <w:t>Το πρόβλημα</w:t>
      </w:r>
      <w:r w:rsidR="003C733C" w:rsidRPr="002E1ED4">
        <w:rPr>
          <w:rFonts w:ascii="Times New Roman" w:hAnsi="Times New Roman" w:cs="Times New Roman"/>
          <w:sz w:val="24"/>
          <w:szCs w:val="24"/>
        </w:rPr>
        <w:t xml:space="preserve"> ρευστότητα</w:t>
      </w:r>
      <w:r w:rsidR="00F90F82">
        <w:rPr>
          <w:rFonts w:ascii="Times New Roman" w:hAnsi="Times New Roman" w:cs="Times New Roman"/>
          <w:sz w:val="24"/>
          <w:szCs w:val="24"/>
        </w:rPr>
        <w:t>ς</w:t>
      </w:r>
      <w:r w:rsidR="003C733C" w:rsidRPr="002E1ED4">
        <w:rPr>
          <w:rFonts w:ascii="Times New Roman" w:hAnsi="Times New Roman" w:cs="Times New Roman"/>
          <w:sz w:val="24"/>
          <w:szCs w:val="24"/>
        </w:rPr>
        <w:t xml:space="preserve"> των επιχειρήσεων φαίνεται και από </w:t>
      </w:r>
      <w:r w:rsidRPr="002E1ED4">
        <w:rPr>
          <w:rFonts w:ascii="Times New Roman" w:hAnsi="Times New Roman" w:cs="Times New Roman"/>
          <w:sz w:val="24"/>
          <w:szCs w:val="24"/>
        </w:rPr>
        <w:t xml:space="preserve">την διατήρηση σε υψηλά ποσοστά των μηδενικών ή αρκετά χαμηλών ταμειακών διαθέσιμων που καταγράφουν οι ΜΜΕ για το Ά εξάμηνο του 2021. </w:t>
      </w:r>
      <w:r w:rsidR="003C733C" w:rsidRPr="002E1ED4">
        <w:rPr>
          <w:rFonts w:ascii="Times New Roman" w:hAnsi="Times New Roman" w:cs="Times New Roman"/>
          <w:sz w:val="24"/>
          <w:szCs w:val="24"/>
        </w:rPr>
        <w:t xml:space="preserve"> </w:t>
      </w:r>
      <w:r>
        <w:rPr>
          <w:rFonts w:ascii="Times New Roman" w:hAnsi="Times New Roman" w:cs="Times New Roman"/>
          <w:sz w:val="24"/>
          <w:szCs w:val="24"/>
        </w:rPr>
        <w:t>Όπως φαίνεται στο Γράφημα 13</w:t>
      </w:r>
      <w:r w:rsidR="00F90F82">
        <w:rPr>
          <w:rFonts w:ascii="Times New Roman" w:hAnsi="Times New Roman" w:cs="Times New Roman"/>
          <w:sz w:val="24"/>
          <w:szCs w:val="24"/>
        </w:rPr>
        <w:t>,</w:t>
      </w:r>
      <w:r>
        <w:rPr>
          <w:rFonts w:ascii="Times New Roman" w:hAnsi="Times New Roman" w:cs="Times New Roman"/>
          <w:sz w:val="24"/>
          <w:szCs w:val="24"/>
        </w:rPr>
        <w:t xml:space="preserve"> παρόλο που η εικόνα για τα ταμειακά διαθέσιμα των επιχειρήσεων είναι καλύτερη σε σχέση με το αμέσως προηγούμενο εξάμηνο, απέχει σε σύγκριση το αντίστοιχο εξάμηνο του 2020. Έτσι, περίπου 1 στις 5 </w:t>
      </w:r>
      <w:r w:rsidR="00C25F11">
        <w:rPr>
          <w:rFonts w:ascii="Times New Roman" w:hAnsi="Times New Roman" w:cs="Times New Roman"/>
          <w:sz w:val="24"/>
          <w:szCs w:val="24"/>
        </w:rPr>
        <w:t xml:space="preserve">επιχειρήσεις </w:t>
      </w:r>
      <w:r>
        <w:rPr>
          <w:rFonts w:ascii="Times New Roman" w:hAnsi="Times New Roman" w:cs="Times New Roman"/>
          <w:sz w:val="24"/>
          <w:szCs w:val="24"/>
        </w:rPr>
        <w:t xml:space="preserve">(21,4%) δηλώνουν πως δεν έχουν καθόλου ταμειακά διαθέσιμα, το </w:t>
      </w:r>
      <w:r w:rsidR="00C25F11">
        <w:rPr>
          <w:rFonts w:ascii="Times New Roman" w:hAnsi="Times New Roman" w:cs="Times New Roman"/>
          <w:sz w:val="24"/>
          <w:szCs w:val="24"/>
        </w:rPr>
        <w:t>7,7% δήλωσε πως επαρκούν για λιγότερο από μήνα, ενώ το 13,3% δήλωσε πως επαρκούν για ένα μήνα. Με άλλα λόγια</w:t>
      </w:r>
      <w:r w:rsidR="00F90F82">
        <w:rPr>
          <w:rFonts w:ascii="Times New Roman" w:hAnsi="Times New Roman" w:cs="Times New Roman"/>
          <w:sz w:val="24"/>
          <w:szCs w:val="24"/>
        </w:rPr>
        <w:t>,</w:t>
      </w:r>
      <w:r w:rsidR="00C25F11">
        <w:rPr>
          <w:rFonts w:ascii="Times New Roman" w:hAnsi="Times New Roman" w:cs="Times New Roman"/>
          <w:sz w:val="24"/>
          <w:szCs w:val="24"/>
        </w:rPr>
        <w:t xml:space="preserve"> φαίνεται πως για 4 στις 10 επιχειρήσεις (42,4%) </w:t>
      </w:r>
      <w:bookmarkStart w:id="15" w:name="_Hlk68075090"/>
      <w:r w:rsidR="00C25F11" w:rsidRPr="00EE38EB">
        <w:rPr>
          <w:rFonts w:ascii="Times New Roman" w:hAnsi="Times New Roman" w:cs="Times New Roman"/>
          <w:sz w:val="24"/>
          <w:szCs w:val="24"/>
        </w:rPr>
        <w:t>τα</w:t>
      </w:r>
      <w:r w:rsidR="00352F49" w:rsidRPr="00EE38EB">
        <w:rPr>
          <w:rFonts w:ascii="Times New Roman" w:hAnsi="Times New Roman" w:cs="Times New Roman"/>
          <w:sz w:val="24"/>
          <w:szCs w:val="24"/>
        </w:rPr>
        <w:t xml:space="preserve"> ταμειακά διαθέσιμα </w:t>
      </w:r>
      <w:r w:rsidR="00EE38EB" w:rsidRPr="00EE38EB">
        <w:rPr>
          <w:rFonts w:ascii="Times New Roman" w:hAnsi="Times New Roman" w:cs="Times New Roman"/>
          <w:sz w:val="24"/>
          <w:szCs w:val="24"/>
        </w:rPr>
        <w:t xml:space="preserve">επαρκούν </w:t>
      </w:r>
      <w:r w:rsidR="006D0D98" w:rsidRPr="00EE38EB">
        <w:rPr>
          <w:rFonts w:ascii="Times New Roman" w:hAnsi="Times New Roman" w:cs="Times New Roman"/>
          <w:sz w:val="24"/>
          <w:szCs w:val="24"/>
        </w:rPr>
        <w:t>το πολύ για</w:t>
      </w:r>
      <w:r w:rsidR="00352F49" w:rsidRPr="00EE38EB">
        <w:rPr>
          <w:rFonts w:ascii="Times New Roman" w:hAnsi="Times New Roman" w:cs="Times New Roman"/>
          <w:sz w:val="24"/>
          <w:szCs w:val="24"/>
        </w:rPr>
        <w:t xml:space="preserve"> ένα μήνα</w:t>
      </w:r>
      <w:bookmarkEnd w:id="15"/>
      <w:r w:rsidR="00352F49" w:rsidRPr="00EE38EB">
        <w:rPr>
          <w:rFonts w:ascii="Times New Roman" w:hAnsi="Times New Roman" w:cs="Times New Roman"/>
          <w:sz w:val="24"/>
          <w:szCs w:val="24"/>
        </w:rPr>
        <w:t xml:space="preserve">. </w:t>
      </w:r>
    </w:p>
    <w:p w14:paraId="67920551" w14:textId="58E558EE" w:rsidR="001765DA" w:rsidRPr="00E36734" w:rsidRDefault="001765DA" w:rsidP="001765DA">
      <w:pPr>
        <w:spacing w:after="0" w:line="360" w:lineRule="auto"/>
        <w:jc w:val="center"/>
        <w:rPr>
          <w:rFonts w:ascii="Times New Roman" w:hAnsi="Times New Roman" w:cs="Times New Roman"/>
          <w:b/>
          <w:bCs/>
          <w:sz w:val="24"/>
          <w:szCs w:val="24"/>
        </w:rPr>
      </w:pPr>
      <w:r w:rsidRPr="00E36734">
        <w:rPr>
          <w:rFonts w:ascii="Times New Roman" w:hAnsi="Times New Roman" w:cs="Times New Roman"/>
          <w:b/>
          <w:bCs/>
          <w:sz w:val="24"/>
          <w:szCs w:val="24"/>
        </w:rPr>
        <w:t>Γράφημα</w:t>
      </w:r>
      <w:r w:rsidR="006D0D98" w:rsidRPr="00E36734">
        <w:rPr>
          <w:rFonts w:ascii="Times New Roman" w:hAnsi="Times New Roman" w:cs="Times New Roman"/>
          <w:b/>
          <w:bCs/>
          <w:sz w:val="24"/>
          <w:szCs w:val="24"/>
        </w:rPr>
        <w:t xml:space="preserve"> </w:t>
      </w:r>
      <w:r w:rsidR="003F27D9">
        <w:rPr>
          <w:rFonts w:ascii="Times New Roman" w:hAnsi="Times New Roman" w:cs="Times New Roman"/>
          <w:b/>
          <w:bCs/>
          <w:sz w:val="24"/>
          <w:szCs w:val="24"/>
        </w:rPr>
        <w:t>13</w:t>
      </w:r>
    </w:p>
    <w:p w14:paraId="0008C3F3" w14:textId="09464357" w:rsidR="001765DA" w:rsidRPr="00E36734" w:rsidRDefault="001765DA" w:rsidP="001765DA">
      <w:pPr>
        <w:spacing w:after="0" w:line="360" w:lineRule="auto"/>
        <w:jc w:val="center"/>
        <w:rPr>
          <w:rFonts w:ascii="Times New Roman" w:hAnsi="Times New Roman" w:cs="Times New Roman"/>
          <w:b/>
          <w:bCs/>
          <w:sz w:val="24"/>
          <w:szCs w:val="24"/>
        </w:rPr>
      </w:pPr>
      <w:bookmarkStart w:id="16" w:name="_Hlk68075005"/>
      <w:r w:rsidRPr="00E36734">
        <w:rPr>
          <w:rFonts w:ascii="Times New Roman" w:hAnsi="Times New Roman" w:cs="Times New Roman"/>
          <w:b/>
          <w:bCs/>
          <w:sz w:val="24"/>
          <w:szCs w:val="24"/>
        </w:rPr>
        <w:t xml:space="preserve">Τα ταμειακά διαθέσιμα (η ρευστότητα της επιχείρησης) για πόσο καιρό επαρκούν </w:t>
      </w:r>
      <w:r w:rsidRPr="00E36734">
        <w:rPr>
          <w:rFonts w:ascii="Times New Roman" w:hAnsi="Times New Roman" w:cs="Times New Roman"/>
          <w:b/>
          <w:bCs/>
          <w:sz w:val="24"/>
          <w:szCs w:val="24"/>
        </w:rPr>
        <w:br/>
        <w:t>για να καλύψουν τις βασικές υποχρεώσεις της επιχείρησης;</w:t>
      </w:r>
    </w:p>
    <w:bookmarkEnd w:id="16"/>
    <w:p w14:paraId="42C510EF" w14:textId="2A978C04" w:rsidR="000948E7" w:rsidRPr="00E36734" w:rsidRDefault="003C733C" w:rsidP="000948E7">
      <w:pPr>
        <w:spacing w:after="0" w:line="360" w:lineRule="auto"/>
        <w:jc w:val="center"/>
        <w:rPr>
          <w:rFonts w:ascii="Times New Roman" w:eastAsiaTheme="majorEastAsia" w:hAnsi="Times New Roman" w:cs="Times New Roman"/>
          <w:b/>
          <w:color w:val="000000" w:themeColor="text1"/>
          <w:sz w:val="24"/>
          <w:szCs w:val="24"/>
        </w:rPr>
      </w:pPr>
      <w:r w:rsidRPr="00E36734">
        <w:rPr>
          <w:rFonts w:ascii="Times New Roman" w:eastAsiaTheme="majorEastAsia" w:hAnsi="Times New Roman" w:cs="Times New Roman"/>
          <w:b/>
          <w:noProof/>
          <w:color w:val="000000" w:themeColor="text1"/>
          <w:sz w:val="24"/>
          <w:szCs w:val="24"/>
          <w:lang w:val="en-US"/>
        </w:rPr>
        <w:drawing>
          <wp:inline distT="0" distB="0" distL="0" distR="0" wp14:anchorId="12E348C7" wp14:editId="5301CE28">
            <wp:extent cx="6576060" cy="2689860"/>
            <wp:effectExtent l="0" t="0" r="15240" b="15240"/>
            <wp:docPr id="6" name="Γράφημα 6">
              <a:extLst xmlns:a="http://schemas.openxmlformats.org/drawingml/2006/main">
                <a:ext uri="{FF2B5EF4-FFF2-40B4-BE49-F238E27FC236}">
                  <a16:creationId xmlns:a16="http://schemas.microsoft.com/office/drawing/2014/main" id="{CD2B5132-1EA9-4FAD-879F-3794F2E05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E0AF77" w14:textId="5F2AB919" w:rsidR="008C7281" w:rsidRPr="00E36734" w:rsidRDefault="001A4A72" w:rsidP="000948E7">
      <w:pPr>
        <w:spacing w:after="0" w:line="360" w:lineRule="auto"/>
        <w:jc w:val="both"/>
        <w:rPr>
          <w:rFonts w:ascii="Times New Roman" w:eastAsia="Times New Roman" w:hAnsi="Times New Roman" w:cs="Times New Roman"/>
          <w:color w:val="222222"/>
          <w:sz w:val="24"/>
          <w:szCs w:val="24"/>
          <w:lang w:eastAsia="el-GR"/>
        </w:rPr>
      </w:pPr>
      <w:bookmarkStart w:id="17" w:name="_Hlk68246256"/>
      <w:r w:rsidRPr="00EE38EB">
        <w:rPr>
          <w:rFonts w:ascii="Times New Roman" w:eastAsia="Times New Roman" w:hAnsi="Times New Roman" w:cs="Times New Roman"/>
          <w:color w:val="222222"/>
          <w:sz w:val="24"/>
          <w:szCs w:val="24"/>
          <w:lang w:eastAsia="el-GR"/>
        </w:rPr>
        <w:lastRenderedPageBreak/>
        <w:t xml:space="preserve">Δυσμενέστερη είναι η εικόνα </w:t>
      </w:r>
      <w:r w:rsidR="00EE38EB" w:rsidRPr="00EE38EB">
        <w:rPr>
          <w:rFonts w:ascii="Times New Roman" w:eastAsia="Times New Roman" w:hAnsi="Times New Roman" w:cs="Times New Roman"/>
          <w:color w:val="222222"/>
          <w:sz w:val="24"/>
          <w:szCs w:val="24"/>
          <w:lang w:eastAsia="el-GR"/>
        </w:rPr>
        <w:t>των</w:t>
      </w:r>
      <w:r w:rsidRPr="00EE38EB">
        <w:rPr>
          <w:rFonts w:ascii="Times New Roman" w:eastAsia="Times New Roman" w:hAnsi="Times New Roman" w:cs="Times New Roman"/>
          <w:color w:val="222222"/>
          <w:sz w:val="24"/>
          <w:szCs w:val="24"/>
          <w:lang w:eastAsia="el-GR"/>
        </w:rPr>
        <w:t xml:space="preserve"> επιχειρήσεων που ανέστειλαν την λειτουργία τους με κρατική εντολή</w:t>
      </w:r>
      <w:r w:rsidR="00EE38EB" w:rsidRPr="00EE38EB">
        <w:rPr>
          <w:rFonts w:ascii="Times New Roman" w:eastAsia="Times New Roman" w:hAnsi="Times New Roman" w:cs="Times New Roman"/>
          <w:color w:val="222222"/>
          <w:sz w:val="24"/>
          <w:szCs w:val="24"/>
          <w:lang w:eastAsia="el-GR"/>
        </w:rPr>
        <w:t xml:space="preserve"> καθώς το 31,7% δηλώνει πως δεν έχει </w:t>
      </w:r>
      <w:r w:rsidRPr="00EE38EB">
        <w:rPr>
          <w:rFonts w:ascii="Times New Roman" w:eastAsia="Times New Roman" w:hAnsi="Times New Roman" w:cs="Times New Roman"/>
          <w:color w:val="222222"/>
          <w:sz w:val="24"/>
          <w:szCs w:val="24"/>
          <w:lang w:eastAsia="el-GR"/>
        </w:rPr>
        <w:t>καθόλου ρευστότητα,</w:t>
      </w:r>
      <w:r w:rsidR="00EE38EB" w:rsidRPr="00EE38EB">
        <w:rPr>
          <w:rFonts w:ascii="Times New Roman" w:eastAsia="Times New Roman" w:hAnsi="Times New Roman" w:cs="Times New Roman"/>
          <w:color w:val="222222"/>
          <w:sz w:val="24"/>
          <w:szCs w:val="24"/>
          <w:lang w:eastAsia="el-GR"/>
        </w:rPr>
        <w:t xml:space="preserve"> ενώ</w:t>
      </w:r>
      <w:r w:rsidRPr="00EE38EB">
        <w:rPr>
          <w:rFonts w:ascii="Times New Roman" w:eastAsia="Times New Roman" w:hAnsi="Times New Roman" w:cs="Times New Roman"/>
          <w:color w:val="222222"/>
          <w:sz w:val="24"/>
          <w:szCs w:val="24"/>
          <w:lang w:eastAsia="el-GR"/>
        </w:rPr>
        <w:t xml:space="preserve"> </w:t>
      </w:r>
      <w:r w:rsidR="00EE38EB" w:rsidRPr="00EE38EB">
        <w:rPr>
          <w:rFonts w:ascii="Times New Roman" w:eastAsia="Times New Roman" w:hAnsi="Times New Roman" w:cs="Times New Roman"/>
          <w:color w:val="222222"/>
          <w:sz w:val="24"/>
          <w:szCs w:val="24"/>
          <w:lang w:eastAsia="el-GR"/>
        </w:rPr>
        <w:t xml:space="preserve">για </w:t>
      </w:r>
      <w:r w:rsidRPr="00EE38EB">
        <w:rPr>
          <w:rFonts w:ascii="Times New Roman" w:eastAsia="Times New Roman" w:hAnsi="Times New Roman" w:cs="Times New Roman"/>
          <w:color w:val="222222"/>
          <w:sz w:val="24"/>
          <w:szCs w:val="24"/>
          <w:lang w:eastAsia="el-GR"/>
        </w:rPr>
        <w:t xml:space="preserve">το </w:t>
      </w:r>
      <w:r w:rsidR="00EE38EB" w:rsidRPr="00EE38EB">
        <w:rPr>
          <w:rFonts w:ascii="Times New Roman" w:eastAsia="Times New Roman" w:hAnsi="Times New Roman" w:cs="Times New Roman"/>
          <w:color w:val="222222"/>
          <w:sz w:val="24"/>
          <w:szCs w:val="24"/>
          <w:lang w:eastAsia="el-GR"/>
        </w:rPr>
        <w:t>19,2</w:t>
      </w:r>
      <w:r w:rsidRPr="00EE38EB">
        <w:rPr>
          <w:rFonts w:ascii="Times New Roman" w:eastAsia="Times New Roman" w:hAnsi="Times New Roman" w:cs="Times New Roman"/>
          <w:color w:val="222222"/>
          <w:sz w:val="24"/>
          <w:szCs w:val="24"/>
          <w:lang w:eastAsia="el-GR"/>
        </w:rPr>
        <w:t>% τα ταμειακά διαθέσιμα επαρκούν το πολύ για ένα μήνα</w:t>
      </w:r>
      <w:r w:rsidR="00EE38EB" w:rsidRPr="00EE38EB">
        <w:rPr>
          <w:rFonts w:ascii="Times New Roman" w:eastAsia="Times New Roman" w:hAnsi="Times New Roman" w:cs="Times New Roman"/>
          <w:color w:val="222222"/>
          <w:sz w:val="24"/>
          <w:szCs w:val="24"/>
          <w:lang w:eastAsia="el-GR"/>
        </w:rPr>
        <w:t xml:space="preserve"> (πίνακας 6)</w:t>
      </w:r>
      <w:r w:rsidRPr="00EE38EB">
        <w:rPr>
          <w:rFonts w:ascii="Times New Roman" w:eastAsia="Times New Roman" w:hAnsi="Times New Roman" w:cs="Times New Roman"/>
          <w:color w:val="222222"/>
          <w:sz w:val="24"/>
          <w:szCs w:val="24"/>
          <w:lang w:eastAsia="el-GR"/>
        </w:rPr>
        <w:t xml:space="preserve">. </w:t>
      </w:r>
      <w:r w:rsidR="00EE38EB">
        <w:rPr>
          <w:rFonts w:ascii="Times New Roman" w:eastAsia="Times New Roman" w:hAnsi="Times New Roman" w:cs="Times New Roman"/>
          <w:color w:val="222222"/>
          <w:sz w:val="24"/>
          <w:szCs w:val="24"/>
          <w:lang w:eastAsia="el-GR"/>
        </w:rPr>
        <w:t>Από την άλλη μεριά</w:t>
      </w:r>
      <w:r w:rsidR="00457CC7">
        <w:rPr>
          <w:rFonts w:ascii="Times New Roman" w:eastAsia="Times New Roman" w:hAnsi="Times New Roman" w:cs="Times New Roman"/>
          <w:color w:val="222222"/>
          <w:sz w:val="24"/>
          <w:szCs w:val="24"/>
          <w:lang w:eastAsia="el-GR"/>
        </w:rPr>
        <w:t>,</w:t>
      </w:r>
      <w:r w:rsidR="00EE38EB">
        <w:rPr>
          <w:rFonts w:ascii="Times New Roman" w:eastAsia="Times New Roman" w:hAnsi="Times New Roman" w:cs="Times New Roman"/>
          <w:color w:val="222222"/>
          <w:sz w:val="24"/>
          <w:szCs w:val="24"/>
          <w:lang w:eastAsia="el-GR"/>
        </w:rPr>
        <w:t xml:space="preserve"> καλύτερη είναι η εικόνα που παρουσιάζουν οι επιχειρήσεις εστίασης, καθώς </w:t>
      </w:r>
      <w:r w:rsidR="008662A5">
        <w:rPr>
          <w:rFonts w:ascii="Times New Roman" w:eastAsia="Times New Roman" w:hAnsi="Times New Roman" w:cs="Times New Roman"/>
          <w:color w:val="222222"/>
          <w:sz w:val="24"/>
          <w:szCs w:val="24"/>
          <w:lang w:eastAsia="el-GR"/>
        </w:rPr>
        <w:t>για το Α</w:t>
      </w:r>
      <w:r w:rsidR="00457CC7">
        <w:rPr>
          <w:rFonts w:ascii="Times New Roman" w:eastAsia="Times New Roman" w:hAnsi="Times New Roman" w:cs="Times New Roman"/>
          <w:color w:val="222222"/>
          <w:sz w:val="24"/>
          <w:szCs w:val="24"/>
          <w:lang w:eastAsia="el-GR"/>
        </w:rPr>
        <w:t>’</w:t>
      </w:r>
      <w:r w:rsidR="008662A5">
        <w:rPr>
          <w:rFonts w:ascii="Times New Roman" w:eastAsia="Times New Roman" w:hAnsi="Times New Roman" w:cs="Times New Roman"/>
          <w:color w:val="222222"/>
          <w:sz w:val="24"/>
          <w:szCs w:val="24"/>
          <w:lang w:eastAsia="el-GR"/>
        </w:rPr>
        <w:t xml:space="preserve"> εξάμηνο του 2021 </w:t>
      </w:r>
      <w:r w:rsidR="00EE38EB">
        <w:rPr>
          <w:rFonts w:ascii="Times New Roman" w:eastAsia="Times New Roman" w:hAnsi="Times New Roman" w:cs="Times New Roman"/>
          <w:color w:val="222222"/>
          <w:sz w:val="24"/>
          <w:szCs w:val="24"/>
          <w:lang w:eastAsia="el-GR"/>
        </w:rPr>
        <w:t xml:space="preserve">καταγράφεται μείωση 15,2 ποσοστιαίων μονάδων </w:t>
      </w:r>
      <w:r w:rsidR="008662A5">
        <w:rPr>
          <w:rFonts w:ascii="Times New Roman" w:eastAsia="Times New Roman" w:hAnsi="Times New Roman" w:cs="Times New Roman"/>
          <w:color w:val="222222"/>
          <w:sz w:val="24"/>
          <w:szCs w:val="24"/>
          <w:lang w:eastAsia="el-GR"/>
        </w:rPr>
        <w:t xml:space="preserve">του αριθμού </w:t>
      </w:r>
      <w:r w:rsidR="00EE38EB">
        <w:rPr>
          <w:rFonts w:ascii="Times New Roman" w:eastAsia="Times New Roman" w:hAnsi="Times New Roman" w:cs="Times New Roman"/>
          <w:color w:val="222222"/>
          <w:sz w:val="24"/>
          <w:szCs w:val="24"/>
          <w:lang w:eastAsia="el-GR"/>
        </w:rPr>
        <w:t xml:space="preserve">των επιχειρήσεων με μηδενικά </w:t>
      </w:r>
      <w:r w:rsidR="008662A5">
        <w:rPr>
          <w:rFonts w:ascii="Times New Roman" w:eastAsia="Times New Roman" w:hAnsi="Times New Roman" w:cs="Times New Roman"/>
          <w:color w:val="222222"/>
          <w:sz w:val="24"/>
          <w:szCs w:val="24"/>
          <w:lang w:eastAsia="el-GR"/>
        </w:rPr>
        <w:t xml:space="preserve">ταμειακά σε σύγκριση με το Β εξάμηνο του 2020. Αυτό υποδεικνύει πως τα </w:t>
      </w:r>
      <w:proofErr w:type="spellStart"/>
      <w:r w:rsidR="008662A5">
        <w:rPr>
          <w:rFonts w:ascii="Times New Roman" w:eastAsia="Times New Roman" w:hAnsi="Times New Roman" w:cs="Times New Roman"/>
          <w:color w:val="222222"/>
          <w:sz w:val="24"/>
          <w:szCs w:val="24"/>
          <w:lang w:eastAsia="el-GR"/>
        </w:rPr>
        <w:t>στοχευμένα</w:t>
      </w:r>
      <w:proofErr w:type="spellEnd"/>
      <w:r w:rsidR="008662A5">
        <w:rPr>
          <w:rFonts w:ascii="Times New Roman" w:eastAsia="Times New Roman" w:hAnsi="Times New Roman" w:cs="Times New Roman"/>
          <w:color w:val="222222"/>
          <w:sz w:val="24"/>
          <w:szCs w:val="24"/>
          <w:lang w:eastAsia="el-GR"/>
        </w:rPr>
        <w:t xml:space="preserve"> μέτρα που έλαβε η κυβέρνηση για τη στήριξη των επιχειρήσεων εστίασης έχουν βοηθήσει αρκετές από αυτές να αυξήσουν τη ρευστότητα τους. Ωστόσο</w:t>
      </w:r>
      <w:r w:rsidR="00457CC7">
        <w:rPr>
          <w:rFonts w:ascii="Times New Roman" w:eastAsia="Times New Roman" w:hAnsi="Times New Roman" w:cs="Times New Roman"/>
          <w:color w:val="222222"/>
          <w:sz w:val="24"/>
          <w:szCs w:val="24"/>
          <w:lang w:eastAsia="el-GR"/>
        </w:rPr>
        <w:t>,</w:t>
      </w:r>
      <w:r w:rsidR="008662A5">
        <w:rPr>
          <w:rFonts w:ascii="Times New Roman" w:eastAsia="Times New Roman" w:hAnsi="Times New Roman" w:cs="Times New Roman"/>
          <w:color w:val="222222"/>
          <w:sz w:val="24"/>
          <w:szCs w:val="24"/>
          <w:lang w:eastAsia="el-GR"/>
        </w:rPr>
        <w:t xml:space="preserve"> το ένα πολύ μεγάλο μέρος συνεχίζει να παρουσιάζει σοβαρά προβλήματα ρευστότητας που μάλλον σημαίνει πως τα μέτρα που ελήφθησαν δεν επαρκούσαν για να καλύψουν ένα σημαντικό αριθμό επιχειρήσεων. Ειδικότερα</w:t>
      </w:r>
      <w:r w:rsidR="00457CC7">
        <w:rPr>
          <w:rFonts w:ascii="Times New Roman" w:eastAsia="Times New Roman" w:hAnsi="Times New Roman" w:cs="Times New Roman"/>
          <w:color w:val="222222"/>
          <w:sz w:val="24"/>
          <w:szCs w:val="24"/>
          <w:lang w:eastAsia="el-GR"/>
        </w:rPr>
        <w:t>,</w:t>
      </w:r>
      <w:r w:rsidR="008662A5">
        <w:rPr>
          <w:rFonts w:ascii="Times New Roman" w:eastAsia="Times New Roman" w:hAnsi="Times New Roman" w:cs="Times New Roman"/>
          <w:color w:val="222222"/>
          <w:sz w:val="24"/>
          <w:szCs w:val="24"/>
          <w:lang w:eastAsia="el-GR"/>
        </w:rPr>
        <w:t xml:space="preserve"> όπως φαίνεται στον πίνακα 6  σχεδόν 3 στις 10 επιχειρήσεις εστίασης (28,9%) δεν έχουν καθόλου ταμειακά διαθέσιμα, ενώ για το 21,6% τα ταμειακά διαθέσιμα επαρκούν το πολύ για ένα μήνα. Γενικότερα, η 1 στις 2 επιχειρήσεις εστίασης (50,5%) έχει ταμειακά διαθέσιμα που επαρκούν το πολύ για ένα μήνα, καταδεικνύοντας την αρκετά δύσκολή θέση στην οποία παραμένει οικονομικά ο κλάδος. </w:t>
      </w:r>
    </w:p>
    <w:bookmarkEnd w:id="17"/>
    <w:p w14:paraId="18D47D5C" w14:textId="77777777" w:rsidR="008C7281" w:rsidRPr="00E36734" w:rsidRDefault="008C7281" w:rsidP="000948E7">
      <w:pPr>
        <w:spacing w:after="0" w:line="360" w:lineRule="auto"/>
        <w:jc w:val="both"/>
        <w:rPr>
          <w:rFonts w:ascii="Times New Roman" w:eastAsia="Times New Roman" w:hAnsi="Times New Roman" w:cs="Times New Roman"/>
          <w:color w:val="222222"/>
          <w:sz w:val="24"/>
          <w:szCs w:val="24"/>
          <w:lang w:eastAsia="el-GR"/>
        </w:rPr>
      </w:pPr>
    </w:p>
    <w:tbl>
      <w:tblPr>
        <w:tblStyle w:val="a9"/>
        <w:tblW w:w="5000" w:type="pct"/>
        <w:tblLook w:val="04A0" w:firstRow="1" w:lastRow="0" w:firstColumn="1" w:lastColumn="0" w:noHBand="0" w:noVBand="1"/>
      </w:tblPr>
      <w:tblGrid>
        <w:gridCol w:w="2924"/>
        <w:gridCol w:w="1954"/>
        <w:gridCol w:w="1709"/>
        <w:gridCol w:w="1944"/>
        <w:gridCol w:w="2033"/>
      </w:tblGrid>
      <w:tr w:rsidR="008C7281" w:rsidRPr="00E36734" w14:paraId="5465A7B9" w14:textId="77777777" w:rsidTr="008C7281">
        <w:trPr>
          <w:trHeight w:val="288"/>
        </w:trPr>
        <w:tc>
          <w:tcPr>
            <w:tcW w:w="1384" w:type="pct"/>
            <w:vMerge w:val="restart"/>
            <w:shd w:val="clear" w:color="auto" w:fill="DBE5F1" w:themeFill="accent1" w:themeFillTint="33"/>
            <w:hideMark/>
          </w:tcPr>
          <w:p w14:paraId="39471BD8" w14:textId="63286CEC" w:rsidR="006D0D98" w:rsidRPr="00E36734" w:rsidRDefault="003F27D9" w:rsidP="008C7281">
            <w:pPr>
              <w:spacing w:line="360" w:lineRule="auto"/>
              <w:jc w:val="center"/>
              <w:rPr>
                <w:b/>
                <w:bCs/>
                <w:color w:val="222222"/>
              </w:rPr>
            </w:pPr>
            <w:r>
              <w:rPr>
                <w:b/>
                <w:bCs/>
                <w:color w:val="222222"/>
              </w:rPr>
              <w:t>Πίνακας 6</w:t>
            </w:r>
          </w:p>
          <w:p w14:paraId="15A18D4B" w14:textId="1592BC1B" w:rsidR="008C7281" w:rsidRPr="00E36734" w:rsidRDefault="008C7281" w:rsidP="008C7281">
            <w:pPr>
              <w:spacing w:line="360" w:lineRule="auto"/>
              <w:jc w:val="center"/>
              <w:rPr>
                <w:b/>
                <w:bCs/>
                <w:color w:val="222222"/>
                <w:sz w:val="18"/>
                <w:szCs w:val="18"/>
              </w:rPr>
            </w:pPr>
            <w:r w:rsidRPr="00E36734">
              <w:rPr>
                <w:b/>
                <w:bCs/>
                <w:color w:val="222222"/>
                <w:sz w:val="18"/>
                <w:szCs w:val="18"/>
              </w:rPr>
              <w:t>Τα ταμειακά διαθέσιμα (η ρευστότητα της επιχείρησης) για πόσο καιρό επαρκούν για να καλύψουν τις βασικές υποχρεώσεις της επιχείρησης;</w:t>
            </w:r>
          </w:p>
        </w:tc>
        <w:tc>
          <w:tcPr>
            <w:tcW w:w="2654" w:type="pct"/>
            <w:gridSpan w:val="3"/>
            <w:shd w:val="clear" w:color="auto" w:fill="DBE5F1" w:themeFill="accent1" w:themeFillTint="33"/>
            <w:hideMark/>
          </w:tcPr>
          <w:p w14:paraId="71B637CE" w14:textId="02CB0A00" w:rsidR="008C7281" w:rsidRPr="00E36734" w:rsidRDefault="008C7281" w:rsidP="008C7281">
            <w:pPr>
              <w:spacing w:line="360" w:lineRule="auto"/>
              <w:jc w:val="center"/>
              <w:rPr>
                <w:b/>
                <w:bCs/>
                <w:color w:val="222222"/>
                <w:sz w:val="18"/>
                <w:szCs w:val="18"/>
              </w:rPr>
            </w:pPr>
            <w:r w:rsidRPr="00E36734">
              <w:rPr>
                <w:b/>
                <w:bCs/>
                <w:color w:val="222222"/>
                <w:sz w:val="18"/>
                <w:szCs w:val="18"/>
              </w:rPr>
              <w:t>Η επιχε</w:t>
            </w:r>
            <w:r w:rsidR="004D3693" w:rsidRPr="00E36734">
              <w:rPr>
                <w:b/>
                <w:bCs/>
                <w:color w:val="222222"/>
                <w:sz w:val="18"/>
                <w:szCs w:val="18"/>
              </w:rPr>
              <w:t>ί</w:t>
            </w:r>
            <w:r w:rsidRPr="00E36734">
              <w:rPr>
                <w:b/>
                <w:bCs/>
                <w:color w:val="222222"/>
                <w:sz w:val="18"/>
                <w:szCs w:val="18"/>
              </w:rPr>
              <w:t>ρ</w:t>
            </w:r>
            <w:r w:rsidR="004D3693" w:rsidRPr="00E36734">
              <w:rPr>
                <w:b/>
                <w:bCs/>
                <w:color w:val="222222"/>
                <w:sz w:val="18"/>
                <w:szCs w:val="18"/>
              </w:rPr>
              <w:t>η</w:t>
            </w:r>
            <w:r w:rsidRPr="00E36734">
              <w:rPr>
                <w:b/>
                <w:bCs/>
                <w:color w:val="222222"/>
                <w:sz w:val="18"/>
                <w:szCs w:val="18"/>
              </w:rPr>
              <w:t>σή σας:</w:t>
            </w:r>
          </w:p>
        </w:tc>
        <w:tc>
          <w:tcPr>
            <w:tcW w:w="962" w:type="pct"/>
            <w:vMerge w:val="restart"/>
            <w:shd w:val="clear" w:color="auto" w:fill="DBE5F1" w:themeFill="accent1" w:themeFillTint="33"/>
            <w:hideMark/>
          </w:tcPr>
          <w:p w14:paraId="0122D16F" w14:textId="77777777" w:rsidR="008C7281" w:rsidRPr="00E36734" w:rsidRDefault="008C7281" w:rsidP="008C7281">
            <w:pPr>
              <w:spacing w:line="360" w:lineRule="auto"/>
              <w:jc w:val="both"/>
              <w:rPr>
                <w:b/>
                <w:bCs/>
                <w:color w:val="222222"/>
                <w:sz w:val="18"/>
                <w:szCs w:val="18"/>
              </w:rPr>
            </w:pPr>
          </w:p>
          <w:p w14:paraId="579E7DF0" w14:textId="77777777" w:rsidR="008C7281" w:rsidRPr="00E36734" w:rsidRDefault="008C7281" w:rsidP="008C7281">
            <w:pPr>
              <w:spacing w:line="360" w:lineRule="auto"/>
              <w:jc w:val="both"/>
              <w:rPr>
                <w:b/>
                <w:bCs/>
                <w:color w:val="222222"/>
                <w:sz w:val="18"/>
                <w:szCs w:val="18"/>
              </w:rPr>
            </w:pPr>
          </w:p>
          <w:p w14:paraId="7687D790" w14:textId="2FC94666" w:rsidR="008C7281" w:rsidRPr="00E36734" w:rsidRDefault="008C7281" w:rsidP="008C7281">
            <w:pPr>
              <w:spacing w:line="360" w:lineRule="auto"/>
              <w:jc w:val="both"/>
              <w:rPr>
                <w:b/>
                <w:bCs/>
                <w:color w:val="222222"/>
                <w:sz w:val="18"/>
                <w:szCs w:val="18"/>
              </w:rPr>
            </w:pPr>
            <w:r w:rsidRPr="00E36734">
              <w:rPr>
                <w:b/>
                <w:bCs/>
                <w:color w:val="222222"/>
                <w:sz w:val="18"/>
                <w:szCs w:val="18"/>
              </w:rPr>
              <w:t>Επιχειρήσεις εστίασης</w:t>
            </w:r>
          </w:p>
        </w:tc>
      </w:tr>
      <w:tr w:rsidR="008C7281" w:rsidRPr="00E36734" w14:paraId="2FE89EFB" w14:textId="77777777" w:rsidTr="008C7281">
        <w:trPr>
          <w:trHeight w:val="1214"/>
        </w:trPr>
        <w:tc>
          <w:tcPr>
            <w:tcW w:w="1384" w:type="pct"/>
            <w:vMerge/>
            <w:shd w:val="clear" w:color="auto" w:fill="DBE5F1" w:themeFill="accent1" w:themeFillTint="33"/>
            <w:hideMark/>
          </w:tcPr>
          <w:p w14:paraId="5AE03A26" w14:textId="77777777" w:rsidR="008C7281" w:rsidRPr="00E36734" w:rsidRDefault="008C7281" w:rsidP="008C7281">
            <w:pPr>
              <w:spacing w:line="360" w:lineRule="auto"/>
              <w:jc w:val="both"/>
              <w:rPr>
                <w:b/>
                <w:bCs/>
                <w:color w:val="222222"/>
                <w:sz w:val="18"/>
                <w:szCs w:val="18"/>
              </w:rPr>
            </w:pPr>
          </w:p>
        </w:tc>
        <w:tc>
          <w:tcPr>
            <w:tcW w:w="925" w:type="pct"/>
            <w:shd w:val="clear" w:color="auto" w:fill="DBE5F1" w:themeFill="accent1" w:themeFillTint="33"/>
            <w:hideMark/>
          </w:tcPr>
          <w:p w14:paraId="6723AAC1" w14:textId="77777777" w:rsidR="008C7281" w:rsidRPr="00E36734" w:rsidRDefault="008C7281" w:rsidP="008C7281">
            <w:pPr>
              <w:spacing w:line="360" w:lineRule="auto"/>
              <w:jc w:val="center"/>
              <w:rPr>
                <w:b/>
                <w:bCs/>
                <w:color w:val="222222"/>
                <w:sz w:val="18"/>
                <w:szCs w:val="18"/>
              </w:rPr>
            </w:pPr>
            <w:r w:rsidRPr="00E36734">
              <w:rPr>
                <w:b/>
                <w:bCs/>
                <w:color w:val="222222"/>
                <w:sz w:val="18"/>
                <w:szCs w:val="18"/>
              </w:rPr>
              <w:t>άνηκε σε εκείνες που βάσει ΚΑΔ ανέστειλαν την δραστηριότητα τους</w:t>
            </w:r>
          </w:p>
        </w:tc>
        <w:tc>
          <w:tcPr>
            <w:tcW w:w="809" w:type="pct"/>
            <w:shd w:val="clear" w:color="auto" w:fill="DBE5F1" w:themeFill="accent1" w:themeFillTint="33"/>
            <w:hideMark/>
          </w:tcPr>
          <w:p w14:paraId="5E5A9DFB" w14:textId="77777777" w:rsidR="008C7281" w:rsidRPr="00E36734" w:rsidRDefault="008C7281" w:rsidP="008C7281">
            <w:pPr>
              <w:spacing w:line="360" w:lineRule="auto"/>
              <w:jc w:val="center"/>
              <w:rPr>
                <w:b/>
                <w:bCs/>
                <w:color w:val="222222"/>
                <w:sz w:val="18"/>
                <w:szCs w:val="18"/>
              </w:rPr>
            </w:pPr>
            <w:r w:rsidRPr="00E36734">
              <w:rPr>
                <w:b/>
                <w:bCs/>
                <w:color w:val="222222"/>
                <w:sz w:val="18"/>
                <w:szCs w:val="18"/>
              </w:rPr>
              <w:t>άνηκε στις πληττόμενες βάσει ΚΑΔ επιχειρήσεις</w:t>
            </w:r>
          </w:p>
        </w:tc>
        <w:tc>
          <w:tcPr>
            <w:tcW w:w="920" w:type="pct"/>
            <w:shd w:val="clear" w:color="auto" w:fill="DBE5F1" w:themeFill="accent1" w:themeFillTint="33"/>
            <w:hideMark/>
          </w:tcPr>
          <w:p w14:paraId="556B874A" w14:textId="77777777" w:rsidR="008C7281" w:rsidRPr="00E36734" w:rsidRDefault="008C7281" w:rsidP="008C7281">
            <w:pPr>
              <w:spacing w:line="360" w:lineRule="auto"/>
              <w:jc w:val="center"/>
              <w:rPr>
                <w:b/>
                <w:bCs/>
                <w:color w:val="222222"/>
                <w:sz w:val="18"/>
                <w:szCs w:val="18"/>
              </w:rPr>
            </w:pPr>
            <w:r w:rsidRPr="00E36734">
              <w:rPr>
                <w:b/>
                <w:bCs/>
                <w:color w:val="222222"/>
                <w:sz w:val="18"/>
                <w:szCs w:val="18"/>
              </w:rPr>
              <w:t>δεν άνηκε σε καμία από τις παρακείμενες κατηγορίες</w:t>
            </w:r>
          </w:p>
        </w:tc>
        <w:tc>
          <w:tcPr>
            <w:tcW w:w="962" w:type="pct"/>
            <w:vMerge/>
            <w:shd w:val="clear" w:color="auto" w:fill="DBE5F1" w:themeFill="accent1" w:themeFillTint="33"/>
            <w:hideMark/>
          </w:tcPr>
          <w:p w14:paraId="19320B4F" w14:textId="77777777" w:rsidR="008C7281" w:rsidRPr="00E36734" w:rsidRDefault="008C7281" w:rsidP="008C7281">
            <w:pPr>
              <w:spacing w:line="360" w:lineRule="auto"/>
              <w:jc w:val="both"/>
              <w:rPr>
                <w:b/>
                <w:bCs/>
                <w:color w:val="222222"/>
                <w:sz w:val="18"/>
                <w:szCs w:val="18"/>
              </w:rPr>
            </w:pPr>
          </w:p>
        </w:tc>
      </w:tr>
      <w:tr w:rsidR="0013000A" w:rsidRPr="00E36734" w14:paraId="51F46A96" w14:textId="77777777" w:rsidTr="0013000A">
        <w:trPr>
          <w:trHeight w:val="288"/>
        </w:trPr>
        <w:tc>
          <w:tcPr>
            <w:tcW w:w="5000" w:type="pct"/>
            <w:gridSpan w:val="5"/>
            <w:noWrap/>
            <w:hideMark/>
          </w:tcPr>
          <w:p w14:paraId="72340D70" w14:textId="0FC65FA4" w:rsidR="0013000A" w:rsidRPr="0013000A" w:rsidRDefault="0013000A" w:rsidP="008C7281">
            <w:pPr>
              <w:spacing w:line="360" w:lineRule="auto"/>
              <w:jc w:val="center"/>
              <w:rPr>
                <w:b/>
                <w:bCs/>
                <w:color w:val="222222"/>
                <w:sz w:val="18"/>
                <w:szCs w:val="18"/>
              </w:rPr>
            </w:pPr>
            <w:r w:rsidRPr="0013000A">
              <w:rPr>
                <w:b/>
                <w:bCs/>
                <w:color w:val="222222"/>
                <w:sz w:val="18"/>
                <w:szCs w:val="18"/>
              </w:rPr>
              <w:t>ΕΥΡΗΜΑΤΑ ΕΡΕΥΝΑΣ ΙΟΥΛΙΟΥ 2021</w:t>
            </w:r>
          </w:p>
        </w:tc>
      </w:tr>
      <w:tr w:rsidR="0013000A" w:rsidRPr="00E36734" w14:paraId="6CD2EC61" w14:textId="77777777" w:rsidTr="008C7281">
        <w:trPr>
          <w:trHeight w:val="288"/>
        </w:trPr>
        <w:tc>
          <w:tcPr>
            <w:tcW w:w="1384" w:type="pct"/>
            <w:noWrap/>
            <w:hideMark/>
          </w:tcPr>
          <w:p w14:paraId="4D091E06" w14:textId="74F9C7B4" w:rsidR="0013000A" w:rsidRPr="00E36734" w:rsidRDefault="0013000A" w:rsidP="0013000A">
            <w:pPr>
              <w:spacing w:line="360" w:lineRule="auto"/>
              <w:jc w:val="both"/>
              <w:rPr>
                <w:color w:val="222222"/>
                <w:sz w:val="18"/>
                <w:szCs w:val="18"/>
              </w:rPr>
            </w:pPr>
            <w:r w:rsidRPr="00E36734">
              <w:rPr>
                <w:color w:val="222222"/>
                <w:sz w:val="18"/>
                <w:szCs w:val="18"/>
              </w:rPr>
              <w:t>Δεν υπάρχουν ταμειακά διαθέσιμα</w:t>
            </w:r>
          </w:p>
        </w:tc>
        <w:tc>
          <w:tcPr>
            <w:tcW w:w="925" w:type="pct"/>
            <w:noWrap/>
            <w:hideMark/>
          </w:tcPr>
          <w:p w14:paraId="71D1A9C3" w14:textId="6AE456F8" w:rsidR="0013000A" w:rsidRPr="00E36734" w:rsidRDefault="0013000A" w:rsidP="0013000A">
            <w:pPr>
              <w:spacing w:line="360" w:lineRule="auto"/>
              <w:jc w:val="center"/>
              <w:rPr>
                <w:color w:val="222222"/>
                <w:sz w:val="18"/>
                <w:szCs w:val="18"/>
              </w:rPr>
            </w:pPr>
            <w:r>
              <w:rPr>
                <w:color w:val="222222"/>
                <w:sz w:val="18"/>
                <w:szCs w:val="18"/>
              </w:rPr>
              <w:t>31,7</w:t>
            </w:r>
          </w:p>
        </w:tc>
        <w:tc>
          <w:tcPr>
            <w:tcW w:w="809" w:type="pct"/>
            <w:noWrap/>
            <w:hideMark/>
          </w:tcPr>
          <w:p w14:paraId="136A9906" w14:textId="69B82AD8" w:rsidR="0013000A" w:rsidRPr="00E36734" w:rsidRDefault="0013000A" w:rsidP="0013000A">
            <w:pPr>
              <w:spacing w:line="360" w:lineRule="auto"/>
              <w:jc w:val="center"/>
              <w:rPr>
                <w:color w:val="222222"/>
                <w:sz w:val="18"/>
                <w:szCs w:val="18"/>
              </w:rPr>
            </w:pPr>
            <w:r>
              <w:rPr>
                <w:color w:val="222222"/>
                <w:sz w:val="18"/>
                <w:szCs w:val="18"/>
              </w:rPr>
              <w:t>18,0</w:t>
            </w:r>
          </w:p>
        </w:tc>
        <w:tc>
          <w:tcPr>
            <w:tcW w:w="920" w:type="pct"/>
            <w:noWrap/>
            <w:hideMark/>
          </w:tcPr>
          <w:p w14:paraId="7B7D4654" w14:textId="4D445563" w:rsidR="0013000A" w:rsidRPr="00E36734" w:rsidRDefault="0013000A" w:rsidP="0013000A">
            <w:pPr>
              <w:spacing w:line="360" w:lineRule="auto"/>
              <w:jc w:val="center"/>
              <w:rPr>
                <w:color w:val="222222"/>
                <w:sz w:val="18"/>
                <w:szCs w:val="18"/>
              </w:rPr>
            </w:pPr>
            <w:r>
              <w:rPr>
                <w:color w:val="222222"/>
                <w:sz w:val="18"/>
                <w:szCs w:val="18"/>
              </w:rPr>
              <w:t>16,5</w:t>
            </w:r>
          </w:p>
        </w:tc>
        <w:tc>
          <w:tcPr>
            <w:tcW w:w="962" w:type="pct"/>
            <w:noWrap/>
            <w:hideMark/>
          </w:tcPr>
          <w:p w14:paraId="10000BD7" w14:textId="59110F25" w:rsidR="0013000A" w:rsidRPr="00E36734" w:rsidRDefault="0013000A" w:rsidP="0013000A">
            <w:pPr>
              <w:spacing w:line="360" w:lineRule="auto"/>
              <w:jc w:val="center"/>
              <w:rPr>
                <w:color w:val="222222"/>
                <w:sz w:val="18"/>
                <w:szCs w:val="18"/>
              </w:rPr>
            </w:pPr>
            <w:r>
              <w:rPr>
                <w:color w:val="222222"/>
                <w:sz w:val="18"/>
                <w:szCs w:val="18"/>
              </w:rPr>
              <w:t>28,9</w:t>
            </w:r>
          </w:p>
        </w:tc>
      </w:tr>
      <w:tr w:rsidR="0013000A" w:rsidRPr="00E36734" w14:paraId="60EE0371" w14:textId="77777777" w:rsidTr="008C7281">
        <w:trPr>
          <w:trHeight w:val="288"/>
        </w:trPr>
        <w:tc>
          <w:tcPr>
            <w:tcW w:w="1384" w:type="pct"/>
            <w:noWrap/>
            <w:hideMark/>
          </w:tcPr>
          <w:p w14:paraId="72C324B2" w14:textId="77FA6ADD" w:rsidR="0013000A" w:rsidRPr="00E36734" w:rsidRDefault="0013000A" w:rsidP="0013000A">
            <w:pPr>
              <w:spacing w:line="360" w:lineRule="auto"/>
              <w:jc w:val="both"/>
              <w:rPr>
                <w:color w:val="222222"/>
                <w:sz w:val="18"/>
                <w:szCs w:val="18"/>
              </w:rPr>
            </w:pPr>
            <w:r w:rsidRPr="00E36734">
              <w:rPr>
                <w:color w:val="222222"/>
                <w:sz w:val="18"/>
                <w:szCs w:val="18"/>
              </w:rPr>
              <w:t>Λιγότερο από μήνα</w:t>
            </w:r>
          </w:p>
        </w:tc>
        <w:tc>
          <w:tcPr>
            <w:tcW w:w="925" w:type="pct"/>
            <w:noWrap/>
            <w:hideMark/>
          </w:tcPr>
          <w:p w14:paraId="4363AA63" w14:textId="6C0B533C" w:rsidR="0013000A" w:rsidRPr="00E36734" w:rsidRDefault="0013000A" w:rsidP="0013000A">
            <w:pPr>
              <w:spacing w:line="360" w:lineRule="auto"/>
              <w:jc w:val="center"/>
              <w:rPr>
                <w:color w:val="222222"/>
                <w:sz w:val="18"/>
                <w:szCs w:val="18"/>
              </w:rPr>
            </w:pPr>
            <w:r>
              <w:rPr>
                <w:color w:val="222222"/>
                <w:sz w:val="18"/>
                <w:szCs w:val="18"/>
              </w:rPr>
              <w:t>7,6</w:t>
            </w:r>
          </w:p>
        </w:tc>
        <w:tc>
          <w:tcPr>
            <w:tcW w:w="809" w:type="pct"/>
            <w:noWrap/>
            <w:hideMark/>
          </w:tcPr>
          <w:p w14:paraId="618C7D31" w14:textId="3F6F0BCD" w:rsidR="0013000A" w:rsidRPr="00E36734" w:rsidRDefault="0013000A" w:rsidP="0013000A">
            <w:pPr>
              <w:spacing w:line="360" w:lineRule="auto"/>
              <w:jc w:val="center"/>
              <w:rPr>
                <w:color w:val="222222"/>
                <w:sz w:val="18"/>
                <w:szCs w:val="18"/>
              </w:rPr>
            </w:pPr>
            <w:r>
              <w:rPr>
                <w:color w:val="222222"/>
                <w:sz w:val="18"/>
                <w:szCs w:val="18"/>
              </w:rPr>
              <w:t>8,2</w:t>
            </w:r>
          </w:p>
        </w:tc>
        <w:tc>
          <w:tcPr>
            <w:tcW w:w="920" w:type="pct"/>
            <w:noWrap/>
            <w:hideMark/>
          </w:tcPr>
          <w:p w14:paraId="65ABA9D9" w14:textId="660D17C8" w:rsidR="0013000A" w:rsidRPr="00E36734" w:rsidRDefault="0013000A" w:rsidP="0013000A">
            <w:pPr>
              <w:spacing w:line="360" w:lineRule="auto"/>
              <w:jc w:val="center"/>
              <w:rPr>
                <w:color w:val="222222"/>
                <w:sz w:val="18"/>
                <w:szCs w:val="18"/>
              </w:rPr>
            </w:pPr>
            <w:r>
              <w:rPr>
                <w:color w:val="222222"/>
                <w:sz w:val="18"/>
                <w:szCs w:val="18"/>
              </w:rPr>
              <w:t>7,5</w:t>
            </w:r>
          </w:p>
        </w:tc>
        <w:tc>
          <w:tcPr>
            <w:tcW w:w="962" w:type="pct"/>
            <w:noWrap/>
            <w:hideMark/>
          </w:tcPr>
          <w:p w14:paraId="059FDD00" w14:textId="786C9441" w:rsidR="0013000A" w:rsidRPr="00E36734" w:rsidRDefault="0013000A" w:rsidP="0013000A">
            <w:pPr>
              <w:spacing w:line="360" w:lineRule="auto"/>
              <w:jc w:val="center"/>
              <w:rPr>
                <w:color w:val="222222"/>
                <w:sz w:val="18"/>
                <w:szCs w:val="18"/>
              </w:rPr>
            </w:pPr>
            <w:r>
              <w:rPr>
                <w:color w:val="222222"/>
                <w:sz w:val="18"/>
                <w:szCs w:val="18"/>
              </w:rPr>
              <w:t>10,3</w:t>
            </w:r>
          </w:p>
        </w:tc>
      </w:tr>
      <w:tr w:rsidR="0013000A" w:rsidRPr="00E36734" w14:paraId="0866086B" w14:textId="77777777" w:rsidTr="008C7281">
        <w:trPr>
          <w:trHeight w:val="288"/>
        </w:trPr>
        <w:tc>
          <w:tcPr>
            <w:tcW w:w="1384" w:type="pct"/>
            <w:noWrap/>
            <w:hideMark/>
          </w:tcPr>
          <w:p w14:paraId="2606F9F7" w14:textId="333A4903" w:rsidR="0013000A" w:rsidRPr="00E36734" w:rsidRDefault="0013000A" w:rsidP="0013000A">
            <w:pPr>
              <w:spacing w:line="360" w:lineRule="auto"/>
              <w:jc w:val="both"/>
              <w:rPr>
                <w:color w:val="222222"/>
                <w:sz w:val="18"/>
                <w:szCs w:val="18"/>
              </w:rPr>
            </w:pPr>
            <w:r w:rsidRPr="00E36734">
              <w:rPr>
                <w:color w:val="222222"/>
                <w:sz w:val="18"/>
                <w:szCs w:val="18"/>
              </w:rPr>
              <w:t>Ένα μήνα</w:t>
            </w:r>
          </w:p>
        </w:tc>
        <w:tc>
          <w:tcPr>
            <w:tcW w:w="925" w:type="pct"/>
            <w:noWrap/>
            <w:hideMark/>
          </w:tcPr>
          <w:p w14:paraId="74B0527E" w14:textId="7DC3B266" w:rsidR="0013000A" w:rsidRPr="00E36734" w:rsidRDefault="0013000A" w:rsidP="0013000A">
            <w:pPr>
              <w:spacing w:line="360" w:lineRule="auto"/>
              <w:jc w:val="center"/>
              <w:rPr>
                <w:color w:val="222222"/>
                <w:sz w:val="18"/>
                <w:szCs w:val="18"/>
              </w:rPr>
            </w:pPr>
            <w:r>
              <w:rPr>
                <w:color w:val="222222"/>
                <w:sz w:val="18"/>
                <w:szCs w:val="18"/>
              </w:rPr>
              <w:t>11,6</w:t>
            </w:r>
          </w:p>
        </w:tc>
        <w:tc>
          <w:tcPr>
            <w:tcW w:w="809" w:type="pct"/>
            <w:noWrap/>
            <w:hideMark/>
          </w:tcPr>
          <w:p w14:paraId="2B599CD8" w14:textId="183E5771" w:rsidR="0013000A" w:rsidRPr="00E36734" w:rsidRDefault="0013000A" w:rsidP="0013000A">
            <w:pPr>
              <w:spacing w:line="360" w:lineRule="auto"/>
              <w:jc w:val="center"/>
              <w:rPr>
                <w:color w:val="222222"/>
                <w:sz w:val="18"/>
                <w:szCs w:val="18"/>
              </w:rPr>
            </w:pPr>
            <w:r>
              <w:rPr>
                <w:color w:val="222222"/>
                <w:sz w:val="18"/>
                <w:szCs w:val="18"/>
              </w:rPr>
              <w:t>15,2</w:t>
            </w:r>
          </w:p>
        </w:tc>
        <w:tc>
          <w:tcPr>
            <w:tcW w:w="920" w:type="pct"/>
            <w:noWrap/>
            <w:hideMark/>
          </w:tcPr>
          <w:p w14:paraId="27E2C1B1" w14:textId="3134AF09" w:rsidR="0013000A" w:rsidRPr="00E36734" w:rsidRDefault="0013000A" w:rsidP="0013000A">
            <w:pPr>
              <w:spacing w:line="360" w:lineRule="auto"/>
              <w:jc w:val="center"/>
              <w:rPr>
                <w:color w:val="222222"/>
                <w:sz w:val="18"/>
                <w:szCs w:val="18"/>
              </w:rPr>
            </w:pPr>
            <w:r>
              <w:rPr>
                <w:color w:val="222222"/>
                <w:sz w:val="18"/>
                <w:szCs w:val="18"/>
              </w:rPr>
              <w:t>12,2</w:t>
            </w:r>
          </w:p>
        </w:tc>
        <w:tc>
          <w:tcPr>
            <w:tcW w:w="962" w:type="pct"/>
            <w:noWrap/>
            <w:hideMark/>
          </w:tcPr>
          <w:p w14:paraId="412D781F" w14:textId="00BC76F5" w:rsidR="0013000A" w:rsidRPr="00E36734" w:rsidRDefault="0013000A" w:rsidP="0013000A">
            <w:pPr>
              <w:spacing w:line="360" w:lineRule="auto"/>
              <w:jc w:val="center"/>
              <w:rPr>
                <w:color w:val="222222"/>
                <w:sz w:val="18"/>
                <w:szCs w:val="18"/>
              </w:rPr>
            </w:pPr>
            <w:r>
              <w:rPr>
                <w:color w:val="222222"/>
                <w:sz w:val="18"/>
                <w:szCs w:val="18"/>
              </w:rPr>
              <w:t>11,3</w:t>
            </w:r>
          </w:p>
        </w:tc>
      </w:tr>
      <w:tr w:rsidR="0013000A" w:rsidRPr="00E36734" w14:paraId="6D322B61" w14:textId="77777777" w:rsidTr="008C7281">
        <w:trPr>
          <w:trHeight w:val="288"/>
        </w:trPr>
        <w:tc>
          <w:tcPr>
            <w:tcW w:w="1384" w:type="pct"/>
            <w:noWrap/>
            <w:hideMark/>
          </w:tcPr>
          <w:p w14:paraId="4D5DAB77" w14:textId="5F77B3E3" w:rsidR="0013000A" w:rsidRPr="00E36734" w:rsidRDefault="0013000A" w:rsidP="0013000A">
            <w:pPr>
              <w:spacing w:line="360" w:lineRule="auto"/>
              <w:jc w:val="both"/>
              <w:rPr>
                <w:color w:val="222222"/>
                <w:sz w:val="18"/>
                <w:szCs w:val="18"/>
              </w:rPr>
            </w:pPr>
            <w:r w:rsidRPr="00E36734">
              <w:rPr>
                <w:color w:val="222222"/>
                <w:sz w:val="18"/>
                <w:szCs w:val="18"/>
              </w:rPr>
              <w:t>Δύο μήνες</w:t>
            </w:r>
          </w:p>
        </w:tc>
        <w:tc>
          <w:tcPr>
            <w:tcW w:w="925" w:type="pct"/>
            <w:noWrap/>
            <w:hideMark/>
          </w:tcPr>
          <w:p w14:paraId="1D87CFB8" w14:textId="53179363" w:rsidR="0013000A" w:rsidRPr="00E36734" w:rsidRDefault="0013000A" w:rsidP="0013000A">
            <w:pPr>
              <w:spacing w:line="360" w:lineRule="auto"/>
              <w:jc w:val="center"/>
              <w:rPr>
                <w:color w:val="222222"/>
                <w:sz w:val="18"/>
                <w:szCs w:val="18"/>
              </w:rPr>
            </w:pPr>
            <w:r>
              <w:rPr>
                <w:color w:val="222222"/>
                <w:sz w:val="18"/>
                <w:szCs w:val="18"/>
              </w:rPr>
              <w:t>12,5</w:t>
            </w:r>
          </w:p>
        </w:tc>
        <w:tc>
          <w:tcPr>
            <w:tcW w:w="809" w:type="pct"/>
            <w:noWrap/>
            <w:hideMark/>
          </w:tcPr>
          <w:p w14:paraId="7E38975D" w14:textId="6E3C76DE" w:rsidR="0013000A" w:rsidRPr="00E36734" w:rsidRDefault="0013000A" w:rsidP="0013000A">
            <w:pPr>
              <w:spacing w:line="360" w:lineRule="auto"/>
              <w:jc w:val="center"/>
              <w:rPr>
                <w:color w:val="222222"/>
                <w:sz w:val="18"/>
                <w:szCs w:val="18"/>
              </w:rPr>
            </w:pPr>
            <w:r>
              <w:rPr>
                <w:color w:val="222222"/>
                <w:sz w:val="18"/>
                <w:szCs w:val="18"/>
              </w:rPr>
              <w:t>13,9</w:t>
            </w:r>
          </w:p>
        </w:tc>
        <w:tc>
          <w:tcPr>
            <w:tcW w:w="920" w:type="pct"/>
            <w:noWrap/>
            <w:hideMark/>
          </w:tcPr>
          <w:p w14:paraId="5C13BC9A" w14:textId="1BACA43D" w:rsidR="0013000A" w:rsidRPr="00E36734" w:rsidRDefault="0013000A" w:rsidP="0013000A">
            <w:pPr>
              <w:spacing w:line="360" w:lineRule="auto"/>
              <w:jc w:val="center"/>
              <w:rPr>
                <w:color w:val="222222"/>
                <w:sz w:val="18"/>
                <w:szCs w:val="18"/>
              </w:rPr>
            </w:pPr>
            <w:r>
              <w:rPr>
                <w:color w:val="222222"/>
                <w:sz w:val="18"/>
                <w:szCs w:val="18"/>
              </w:rPr>
              <w:t>11,8</w:t>
            </w:r>
          </w:p>
        </w:tc>
        <w:tc>
          <w:tcPr>
            <w:tcW w:w="962" w:type="pct"/>
            <w:noWrap/>
            <w:hideMark/>
          </w:tcPr>
          <w:p w14:paraId="7C37367C" w14:textId="46232417" w:rsidR="0013000A" w:rsidRPr="00E36734" w:rsidRDefault="0013000A" w:rsidP="0013000A">
            <w:pPr>
              <w:spacing w:line="360" w:lineRule="auto"/>
              <w:jc w:val="center"/>
              <w:rPr>
                <w:color w:val="222222"/>
                <w:sz w:val="18"/>
                <w:szCs w:val="18"/>
              </w:rPr>
            </w:pPr>
            <w:r>
              <w:rPr>
                <w:color w:val="222222"/>
                <w:sz w:val="18"/>
                <w:szCs w:val="18"/>
              </w:rPr>
              <w:t>7,2</w:t>
            </w:r>
          </w:p>
        </w:tc>
      </w:tr>
      <w:tr w:rsidR="0013000A" w:rsidRPr="00E36734" w14:paraId="5B8B7654" w14:textId="77777777" w:rsidTr="008C7281">
        <w:trPr>
          <w:trHeight w:val="288"/>
        </w:trPr>
        <w:tc>
          <w:tcPr>
            <w:tcW w:w="1384" w:type="pct"/>
            <w:noWrap/>
            <w:hideMark/>
          </w:tcPr>
          <w:p w14:paraId="38B71DA7" w14:textId="1D9BEF82" w:rsidR="0013000A" w:rsidRPr="00E36734" w:rsidRDefault="00EE38EB" w:rsidP="0013000A">
            <w:pPr>
              <w:spacing w:line="360" w:lineRule="auto"/>
              <w:jc w:val="both"/>
              <w:rPr>
                <w:color w:val="222222"/>
                <w:sz w:val="18"/>
                <w:szCs w:val="18"/>
              </w:rPr>
            </w:pPr>
            <w:r>
              <w:rPr>
                <w:color w:val="222222"/>
                <w:sz w:val="18"/>
                <w:szCs w:val="18"/>
              </w:rPr>
              <w:t>Πάνω από 3 μήνες</w:t>
            </w:r>
          </w:p>
        </w:tc>
        <w:tc>
          <w:tcPr>
            <w:tcW w:w="925" w:type="pct"/>
            <w:noWrap/>
            <w:hideMark/>
          </w:tcPr>
          <w:p w14:paraId="63F95B6B" w14:textId="2C192DC1" w:rsidR="0013000A" w:rsidRPr="00E36734" w:rsidRDefault="00EE38EB" w:rsidP="0013000A">
            <w:pPr>
              <w:spacing w:line="360" w:lineRule="auto"/>
              <w:jc w:val="center"/>
              <w:rPr>
                <w:color w:val="222222"/>
                <w:sz w:val="18"/>
                <w:szCs w:val="18"/>
              </w:rPr>
            </w:pPr>
            <w:r>
              <w:rPr>
                <w:color w:val="222222"/>
                <w:sz w:val="18"/>
                <w:szCs w:val="18"/>
              </w:rPr>
              <w:t>25,5</w:t>
            </w:r>
          </w:p>
        </w:tc>
        <w:tc>
          <w:tcPr>
            <w:tcW w:w="809" w:type="pct"/>
            <w:noWrap/>
            <w:hideMark/>
          </w:tcPr>
          <w:p w14:paraId="70350A36" w14:textId="6DB37E88" w:rsidR="0013000A" w:rsidRPr="00E36734" w:rsidRDefault="00EE38EB" w:rsidP="0013000A">
            <w:pPr>
              <w:spacing w:line="360" w:lineRule="auto"/>
              <w:jc w:val="center"/>
              <w:rPr>
                <w:color w:val="222222"/>
                <w:sz w:val="18"/>
                <w:szCs w:val="18"/>
              </w:rPr>
            </w:pPr>
            <w:r>
              <w:rPr>
                <w:color w:val="222222"/>
                <w:sz w:val="18"/>
                <w:szCs w:val="18"/>
              </w:rPr>
              <w:t>37</w:t>
            </w:r>
          </w:p>
        </w:tc>
        <w:tc>
          <w:tcPr>
            <w:tcW w:w="920" w:type="pct"/>
            <w:noWrap/>
            <w:hideMark/>
          </w:tcPr>
          <w:p w14:paraId="3DD59A80" w14:textId="6CF94271" w:rsidR="0013000A" w:rsidRPr="00E36734" w:rsidRDefault="00EE38EB" w:rsidP="0013000A">
            <w:pPr>
              <w:spacing w:line="360" w:lineRule="auto"/>
              <w:jc w:val="center"/>
              <w:rPr>
                <w:color w:val="222222"/>
                <w:sz w:val="18"/>
                <w:szCs w:val="18"/>
              </w:rPr>
            </w:pPr>
            <w:r>
              <w:rPr>
                <w:color w:val="222222"/>
                <w:sz w:val="18"/>
                <w:szCs w:val="18"/>
              </w:rPr>
              <w:t>38,8</w:t>
            </w:r>
          </w:p>
        </w:tc>
        <w:tc>
          <w:tcPr>
            <w:tcW w:w="962" w:type="pct"/>
            <w:noWrap/>
            <w:hideMark/>
          </w:tcPr>
          <w:p w14:paraId="4694F518" w14:textId="67F56524" w:rsidR="0013000A" w:rsidRPr="00E36734" w:rsidRDefault="00EE38EB" w:rsidP="0013000A">
            <w:pPr>
              <w:spacing w:line="360" w:lineRule="auto"/>
              <w:jc w:val="center"/>
              <w:rPr>
                <w:color w:val="222222"/>
                <w:sz w:val="18"/>
                <w:szCs w:val="18"/>
              </w:rPr>
            </w:pPr>
            <w:r>
              <w:rPr>
                <w:color w:val="222222"/>
                <w:sz w:val="18"/>
                <w:szCs w:val="18"/>
              </w:rPr>
              <w:t>30,9</w:t>
            </w:r>
          </w:p>
        </w:tc>
      </w:tr>
      <w:tr w:rsidR="0013000A" w:rsidRPr="00E36734" w14:paraId="3C661DAD" w14:textId="77777777" w:rsidTr="0013000A">
        <w:trPr>
          <w:trHeight w:val="288"/>
        </w:trPr>
        <w:tc>
          <w:tcPr>
            <w:tcW w:w="5000" w:type="pct"/>
            <w:gridSpan w:val="5"/>
            <w:noWrap/>
          </w:tcPr>
          <w:p w14:paraId="3209C8B9" w14:textId="6C34746A" w:rsidR="0013000A" w:rsidRPr="00E36734" w:rsidRDefault="0013000A" w:rsidP="0013000A">
            <w:pPr>
              <w:spacing w:line="360" w:lineRule="auto"/>
              <w:jc w:val="center"/>
              <w:rPr>
                <w:color w:val="222222"/>
                <w:sz w:val="18"/>
                <w:szCs w:val="18"/>
              </w:rPr>
            </w:pPr>
            <w:r w:rsidRPr="0013000A">
              <w:rPr>
                <w:b/>
                <w:bCs/>
                <w:color w:val="222222"/>
                <w:sz w:val="18"/>
                <w:szCs w:val="18"/>
              </w:rPr>
              <w:t xml:space="preserve">ΕΥΡΗΜΑΤΑ ΕΡΕΥΝΑΣ </w:t>
            </w:r>
            <w:r>
              <w:rPr>
                <w:b/>
                <w:bCs/>
                <w:color w:val="222222"/>
                <w:sz w:val="18"/>
                <w:szCs w:val="18"/>
              </w:rPr>
              <w:t>ΦΕΒΡΟΥΑΡΙΟΥ</w:t>
            </w:r>
            <w:r w:rsidRPr="0013000A">
              <w:rPr>
                <w:b/>
                <w:bCs/>
                <w:color w:val="222222"/>
                <w:sz w:val="18"/>
                <w:szCs w:val="18"/>
              </w:rPr>
              <w:t xml:space="preserve"> 2021</w:t>
            </w:r>
          </w:p>
        </w:tc>
      </w:tr>
      <w:tr w:rsidR="0013000A" w:rsidRPr="00E36734" w14:paraId="394AD599" w14:textId="77777777" w:rsidTr="008C7281">
        <w:trPr>
          <w:trHeight w:val="288"/>
        </w:trPr>
        <w:tc>
          <w:tcPr>
            <w:tcW w:w="1384" w:type="pct"/>
            <w:noWrap/>
          </w:tcPr>
          <w:p w14:paraId="09B6A1DC" w14:textId="43A3CF7C" w:rsidR="0013000A" w:rsidRPr="00E36734" w:rsidRDefault="0013000A" w:rsidP="0013000A">
            <w:pPr>
              <w:spacing w:line="360" w:lineRule="auto"/>
              <w:jc w:val="both"/>
              <w:rPr>
                <w:color w:val="222222"/>
                <w:sz w:val="18"/>
                <w:szCs w:val="18"/>
              </w:rPr>
            </w:pPr>
            <w:r w:rsidRPr="00E36734">
              <w:rPr>
                <w:color w:val="222222"/>
                <w:sz w:val="18"/>
                <w:szCs w:val="18"/>
              </w:rPr>
              <w:t>Δεν υπάρχουν ταμειακά διαθέσιμα</w:t>
            </w:r>
          </w:p>
        </w:tc>
        <w:tc>
          <w:tcPr>
            <w:tcW w:w="925" w:type="pct"/>
            <w:noWrap/>
          </w:tcPr>
          <w:p w14:paraId="3E6C209B" w14:textId="7E5BAFE5" w:rsidR="0013000A" w:rsidRPr="00E36734" w:rsidRDefault="0013000A" w:rsidP="0013000A">
            <w:pPr>
              <w:spacing w:line="360" w:lineRule="auto"/>
              <w:jc w:val="center"/>
              <w:rPr>
                <w:color w:val="222222"/>
                <w:sz w:val="18"/>
                <w:szCs w:val="18"/>
              </w:rPr>
            </w:pPr>
            <w:r w:rsidRPr="00E36734">
              <w:rPr>
                <w:color w:val="222222"/>
                <w:sz w:val="18"/>
                <w:szCs w:val="18"/>
              </w:rPr>
              <w:t>36,1</w:t>
            </w:r>
          </w:p>
        </w:tc>
        <w:tc>
          <w:tcPr>
            <w:tcW w:w="809" w:type="pct"/>
            <w:noWrap/>
          </w:tcPr>
          <w:p w14:paraId="552BB02D" w14:textId="1E77DAF5" w:rsidR="0013000A" w:rsidRPr="00E36734" w:rsidRDefault="0013000A" w:rsidP="0013000A">
            <w:pPr>
              <w:spacing w:line="360" w:lineRule="auto"/>
              <w:jc w:val="center"/>
              <w:rPr>
                <w:color w:val="222222"/>
                <w:sz w:val="18"/>
                <w:szCs w:val="18"/>
              </w:rPr>
            </w:pPr>
            <w:r w:rsidRPr="00E36734">
              <w:rPr>
                <w:color w:val="222222"/>
                <w:sz w:val="18"/>
                <w:szCs w:val="18"/>
              </w:rPr>
              <w:t>22,3</w:t>
            </w:r>
          </w:p>
        </w:tc>
        <w:tc>
          <w:tcPr>
            <w:tcW w:w="920" w:type="pct"/>
            <w:noWrap/>
          </w:tcPr>
          <w:p w14:paraId="08128E56" w14:textId="771798BB" w:rsidR="0013000A" w:rsidRPr="00E36734" w:rsidRDefault="0013000A" w:rsidP="0013000A">
            <w:pPr>
              <w:spacing w:line="360" w:lineRule="auto"/>
              <w:jc w:val="center"/>
              <w:rPr>
                <w:color w:val="222222"/>
                <w:sz w:val="18"/>
                <w:szCs w:val="18"/>
              </w:rPr>
            </w:pPr>
            <w:r w:rsidRPr="00E36734">
              <w:rPr>
                <w:color w:val="222222"/>
                <w:sz w:val="18"/>
                <w:szCs w:val="18"/>
              </w:rPr>
              <w:t>18,6</w:t>
            </w:r>
          </w:p>
        </w:tc>
        <w:tc>
          <w:tcPr>
            <w:tcW w:w="962" w:type="pct"/>
            <w:noWrap/>
          </w:tcPr>
          <w:p w14:paraId="4AEB2081" w14:textId="5F4B32D2" w:rsidR="0013000A" w:rsidRPr="00E36734" w:rsidRDefault="0013000A" w:rsidP="0013000A">
            <w:pPr>
              <w:spacing w:line="360" w:lineRule="auto"/>
              <w:jc w:val="center"/>
              <w:rPr>
                <w:color w:val="222222"/>
                <w:sz w:val="18"/>
                <w:szCs w:val="18"/>
              </w:rPr>
            </w:pPr>
            <w:r w:rsidRPr="00E36734">
              <w:rPr>
                <w:color w:val="222222"/>
                <w:sz w:val="18"/>
                <w:szCs w:val="18"/>
              </w:rPr>
              <w:t>44,1</w:t>
            </w:r>
          </w:p>
        </w:tc>
      </w:tr>
      <w:tr w:rsidR="0013000A" w:rsidRPr="00E36734" w14:paraId="094B8E72" w14:textId="77777777" w:rsidTr="008C7281">
        <w:trPr>
          <w:trHeight w:val="288"/>
        </w:trPr>
        <w:tc>
          <w:tcPr>
            <w:tcW w:w="1384" w:type="pct"/>
            <w:noWrap/>
          </w:tcPr>
          <w:p w14:paraId="1B0C8630" w14:textId="62E989EA" w:rsidR="0013000A" w:rsidRPr="00E36734" w:rsidRDefault="0013000A" w:rsidP="0013000A">
            <w:pPr>
              <w:spacing w:line="360" w:lineRule="auto"/>
              <w:jc w:val="both"/>
              <w:rPr>
                <w:color w:val="222222"/>
                <w:sz w:val="18"/>
                <w:szCs w:val="18"/>
              </w:rPr>
            </w:pPr>
            <w:r w:rsidRPr="00E36734">
              <w:rPr>
                <w:color w:val="222222"/>
                <w:sz w:val="18"/>
                <w:szCs w:val="18"/>
              </w:rPr>
              <w:t>Λιγότερο από μήνα</w:t>
            </w:r>
          </w:p>
        </w:tc>
        <w:tc>
          <w:tcPr>
            <w:tcW w:w="925" w:type="pct"/>
            <w:noWrap/>
          </w:tcPr>
          <w:p w14:paraId="4A8492D7" w14:textId="345CB7DD" w:rsidR="0013000A" w:rsidRPr="00E36734" w:rsidRDefault="0013000A" w:rsidP="0013000A">
            <w:pPr>
              <w:spacing w:line="360" w:lineRule="auto"/>
              <w:jc w:val="center"/>
              <w:rPr>
                <w:color w:val="222222"/>
                <w:sz w:val="18"/>
                <w:szCs w:val="18"/>
              </w:rPr>
            </w:pPr>
            <w:r w:rsidRPr="00E36734">
              <w:rPr>
                <w:color w:val="222222"/>
                <w:sz w:val="18"/>
                <w:szCs w:val="18"/>
              </w:rPr>
              <w:t>8,9</w:t>
            </w:r>
          </w:p>
        </w:tc>
        <w:tc>
          <w:tcPr>
            <w:tcW w:w="809" w:type="pct"/>
            <w:noWrap/>
          </w:tcPr>
          <w:p w14:paraId="5B020CCF" w14:textId="64067BAA" w:rsidR="0013000A" w:rsidRPr="00E36734" w:rsidRDefault="0013000A" w:rsidP="0013000A">
            <w:pPr>
              <w:spacing w:line="360" w:lineRule="auto"/>
              <w:jc w:val="center"/>
              <w:rPr>
                <w:color w:val="222222"/>
                <w:sz w:val="18"/>
                <w:szCs w:val="18"/>
              </w:rPr>
            </w:pPr>
            <w:r w:rsidRPr="00E36734">
              <w:rPr>
                <w:color w:val="222222"/>
                <w:sz w:val="18"/>
                <w:szCs w:val="18"/>
              </w:rPr>
              <w:t>8,1</w:t>
            </w:r>
          </w:p>
        </w:tc>
        <w:tc>
          <w:tcPr>
            <w:tcW w:w="920" w:type="pct"/>
            <w:noWrap/>
          </w:tcPr>
          <w:p w14:paraId="78B23EB5" w14:textId="67C3158D" w:rsidR="0013000A" w:rsidRPr="00E36734" w:rsidRDefault="0013000A" w:rsidP="0013000A">
            <w:pPr>
              <w:spacing w:line="360" w:lineRule="auto"/>
              <w:jc w:val="center"/>
              <w:rPr>
                <w:color w:val="222222"/>
                <w:sz w:val="18"/>
                <w:szCs w:val="18"/>
              </w:rPr>
            </w:pPr>
            <w:r w:rsidRPr="00E36734">
              <w:rPr>
                <w:color w:val="222222"/>
                <w:sz w:val="18"/>
                <w:szCs w:val="18"/>
              </w:rPr>
              <w:t>13,7</w:t>
            </w:r>
          </w:p>
        </w:tc>
        <w:tc>
          <w:tcPr>
            <w:tcW w:w="962" w:type="pct"/>
            <w:noWrap/>
          </w:tcPr>
          <w:p w14:paraId="691C99F7" w14:textId="421EB889" w:rsidR="0013000A" w:rsidRPr="00E36734" w:rsidRDefault="0013000A" w:rsidP="0013000A">
            <w:pPr>
              <w:spacing w:line="360" w:lineRule="auto"/>
              <w:jc w:val="center"/>
              <w:rPr>
                <w:color w:val="222222"/>
                <w:sz w:val="18"/>
                <w:szCs w:val="18"/>
              </w:rPr>
            </w:pPr>
            <w:r w:rsidRPr="00E36734">
              <w:rPr>
                <w:color w:val="222222"/>
                <w:sz w:val="18"/>
                <w:szCs w:val="18"/>
              </w:rPr>
              <w:t>7,4</w:t>
            </w:r>
          </w:p>
        </w:tc>
      </w:tr>
      <w:tr w:rsidR="0013000A" w:rsidRPr="00E36734" w14:paraId="1201C84B" w14:textId="77777777" w:rsidTr="008C7281">
        <w:trPr>
          <w:trHeight w:val="288"/>
        </w:trPr>
        <w:tc>
          <w:tcPr>
            <w:tcW w:w="1384" w:type="pct"/>
            <w:noWrap/>
          </w:tcPr>
          <w:p w14:paraId="1949121D" w14:textId="2F9A3258" w:rsidR="0013000A" w:rsidRPr="00E36734" w:rsidRDefault="0013000A" w:rsidP="0013000A">
            <w:pPr>
              <w:spacing w:line="360" w:lineRule="auto"/>
              <w:jc w:val="both"/>
              <w:rPr>
                <w:color w:val="222222"/>
                <w:sz w:val="18"/>
                <w:szCs w:val="18"/>
              </w:rPr>
            </w:pPr>
            <w:r w:rsidRPr="00E36734">
              <w:rPr>
                <w:color w:val="222222"/>
                <w:sz w:val="18"/>
                <w:szCs w:val="18"/>
              </w:rPr>
              <w:t>Ένα μήνα</w:t>
            </w:r>
          </w:p>
        </w:tc>
        <w:tc>
          <w:tcPr>
            <w:tcW w:w="925" w:type="pct"/>
            <w:noWrap/>
          </w:tcPr>
          <w:p w14:paraId="2348A885" w14:textId="498A13E3" w:rsidR="0013000A" w:rsidRPr="00E36734" w:rsidRDefault="0013000A" w:rsidP="0013000A">
            <w:pPr>
              <w:spacing w:line="360" w:lineRule="auto"/>
              <w:jc w:val="center"/>
              <w:rPr>
                <w:color w:val="222222"/>
                <w:sz w:val="18"/>
                <w:szCs w:val="18"/>
              </w:rPr>
            </w:pPr>
            <w:r w:rsidRPr="00E36734">
              <w:rPr>
                <w:color w:val="222222"/>
                <w:sz w:val="18"/>
                <w:szCs w:val="18"/>
              </w:rPr>
              <w:t>13,6</w:t>
            </w:r>
          </w:p>
        </w:tc>
        <w:tc>
          <w:tcPr>
            <w:tcW w:w="809" w:type="pct"/>
            <w:noWrap/>
          </w:tcPr>
          <w:p w14:paraId="3575C2D2" w14:textId="5129D4F7" w:rsidR="0013000A" w:rsidRPr="00E36734" w:rsidRDefault="0013000A" w:rsidP="0013000A">
            <w:pPr>
              <w:spacing w:line="360" w:lineRule="auto"/>
              <w:jc w:val="center"/>
              <w:rPr>
                <w:color w:val="222222"/>
                <w:sz w:val="18"/>
                <w:szCs w:val="18"/>
              </w:rPr>
            </w:pPr>
            <w:r w:rsidRPr="00E36734">
              <w:rPr>
                <w:color w:val="222222"/>
                <w:sz w:val="18"/>
                <w:szCs w:val="18"/>
              </w:rPr>
              <w:t>15,9</w:t>
            </w:r>
          </w:p>
        </w:tc>
        <w:tc>
          <w:tcPr>
            <w:tcW w:w="920" w:type="pct"/>
            <w:noWrap/>
          </w:tcPr>
          <w:p w14:paraId="01BFB73A" w14:textId="4CDBD7FA" w:rsidR="0013000A" w:rsidRPr="00E36734" w:rsidRDefault="0013000A" w:rsidP="0013000A">
            <w:pPr>
              <w:spacing w:line="360" w:lineRule="auto"/>
              <w:jc w:val="center"/>
              <w:rPr>
                <w:color w:val="222222"/>
                <w:sz w:val="18"/>
                <w:szCs w:val="18"/>
              </w:rPr>
            </w:pPr>
            <w:r w:rsidRPr="00E36734">
              <w:rPr>
                <w:color w:val="222222"/>
                <w:sz w:val="18"/>
                <w:szCs w:val="18"/>
              </w:rPr>
              <w:t>12,0</w:t>
            </w:r>
          </w:p>
        </w:tc>
        <w:tc>
          <w:tcPr>
            <w:tcW w:w="962" w:type="pct"/>
            <w:noWrap/>
          </w:tcPr>
          <w:p w14:paraId="32E4E3BE" w14:textId="28F98044" w:rsidR="0013000A" w:rsidRPr="00E36734" w:rsidRDefault="0013000A" w:rsidP="0013000A">
            <w:pPr>
              <w:spacing w:line="360" w:lineRule="auto"/>
              <w:jc w:val="center"/>
              <w:rPr>
                <w:color w:val="222222"/>
                <w:sz w:val="18"/>
                <w:szCs w:val="18"/>
              </w:rPr>
            </w:pPr>
            <w:r w:rsidRPr="00E36734">
              <w:rPr>
                <w:color w:val="222222"/>
                <w:sz w:val="18"/>
                <w:szCs w:val="18"/>
              </w:rPr>
              <w:t>11,8</w:t>
            </w:r>
          </w:p>
        </w:tc>
      </w:tr>
      <w:tr w:rsidR="0013000A" w:rsidRPr="00E36734" w14:paraId="4B4F7806" w14:textId="77777777" w:rsidTr="008C7281">
        <w:trPr>
          <w:trHeight w:val="288"/>
        </w:trPr>
        <w:tc>
          <w:tcPr>
            <w:tcW w:w="1384" w:type="pct"/>
            <w:noWrap/>
          </w:tcPr>
          <w:p w14:paraId="25BF463A" w14:textId="42BC69ED" w:rsidR="0013000A" w:rsidRPr="00E36734" w:rsidRDefault="0013000A" w:rsidP="0013000A">
            <w:pPr>
              <w:spacing w:line="360" w:lineRule="auto"/>
              <w:jc w:val="both"/>
              <w:rPr>
                <w:color w:val="222222"/>
                <w:sz w:val="18"/>
                <w:szCs w:val="18"/>
              </w:rPr>
            </w:pPr>
            <w:r w:rsidRPr="00E36734">
              <w:rPr>
                <w:color w:val="222222"/>
                <w:sz w:val="18"/>
                <w:szCs w:val="18"/>
              </w:rPr>
              <w:t>Δύο μήνες</w:t>
            </w:r>
          </w:p>
        </w:tc>
        <w:tc>
          <w:tcPr>
            <w:tcW w:w="925" w:type="pct"/>
            <w:noWrap/>
          </w:tcPr>
          <w:p w14:paraId="35F5EB20" w14:textId="51388A94" w:rsidR="0013000A" w:rsidRPr="00E36734" w:rsidRDefault="0013000A" w:rsidP="0013000A">
            <w:pPr>
              <w:spacing w:line="360" w:lineRule="auto"/>
              <w:jc w:val="center"/>
              <w:rPr>
                <w:color w:val="222222"/>
                <w:sz w:val="18"/>
                <w:szCs w:val="18"/>
              </w:rPr>
            </w:pPr>
            <w:r w:rsidRPr="00E36734">
              <w:rPr>
                <w:color w:val="222222"/>
                <w:sz w:val="18"/>
                <w:szCs w:val="18"/>
              </w:rPr>
              <w:t>15,7</w:t>
            </w:r>
          </w:p>
        </w:tc>
        <w:tc>
          <w:tcPr>
            <w:tcW w:w="809" w:type="pct"/>
            <w:noWrap/>
          </w:tcPr>
          <w:p w14:paraId="3649EC1D" w14:textId="012935AC" w:rsidR="0013000A" w:rsidRPr="00E36734" w:rsidRDefault="0013000A" w:rsidP="0013000A">
            <w:pPr>
              <w:spacing w:line="360" w:lineRule="auto"/>
              <w:jc w:val="center"/>
              <w:rPr>
                <w:color w:val="222222"/>
                <w:sz w:val="18"/>
                <w:szCs w:val="18"/>
              </w:rPr>
            </w:pPr>
            <w:r w:rsidRPr="00E36734">
              <w:rPr>
                <w:color w:val="222222"/>
                <w:sz w:val="18"/>
                <w:szCs w:val="18"/>
              </w:rPr>
              <w:t>13,0</w:t>
            </w:r>
          </w:p>
        </w:tc>
        <w:tc>
          <w:tcPr>
            <w:tcW w:w="920" w:type="pct"/>
            <w:noWrap/>
          </w:tcPr>
          <w:p w14:paraId="4CF3E4EF" w14:textId="24FCBC29" w:rsidR="0013000A" w:rsidRPr="00E36734" w:rsidRDefault="0013000A" w:rsidP="0013000A">
            <w:pPr>
              <w:spacing w:line="360" w:lineRule="auto"/>
              <w:jc w:val="center"/>
              <w:rPr>
                <w:color w:val="222222"/>
                <w:sz w:val="18"/>
                <w:szCs w:val="18"/>
              </w:rPr>
            </w:pPr>
            <w:r w:rsidRPr="00E36734">
              <w:rPr>
                <w:color w:val="222222"/>
                <w:sz w:val="18"/>
                <w:szCs w:val="18"/>
              </w:rPr>
              <w:t>13,7</w:t>
            </w:r>
          </w:p>
        </w:tc>
        <w:tc>
          <w:tcPr>
            <w:tcW w:w="962" w:type="pct"/>
            <w:noWrap/>
          </w:tcPr>
          <w:p w14:paraId="43A27AD8" w14:textId="0ECB3EF9" w:rsidR="0013000A" w:rsidRPr="00E36734" w:rsidRDefault="0013000A" w:rsidP="0013000A">
            <w:pPr>
              <w:spacing w:line="360" w:lineRule="auto"/>
              <w:jc w:val="center"/>
              <w:rPr>
                <w:color w:val="222222"/>
                <w:sz w:val="18"/>
                <w:szCs w:val="18"/>
              </w:rPr>
            </w:pPr>
            <w:r w:rsidRPr="00E36734">
              <w:rPr>
                <w:color w:val="222222"/>
                <w:sz w:val="18"/>
                <w:szCs w:val="18"/>
              </w:rPr>
              <w:t>11,8</w:t>
            </w:r>
          </w:p>
        </w:tc>
      </w:tr>
      <w:tr w:rsidR="0013000A" w:rsidRPr="00E36734" w14:paraId="1B950534" w14:textId="77777777" w:rsidTr="008C7281">
        <w:trPr>
          <w:trHeight w:val="288"/>
        </w:trPr>
        <w:tc>
          <w:tcPr>
            <w:tcW w:w="1384" w:type="pct"/>
            <w:noWrap/>
          </w:tcPr>
          <w:p w14:paraId="12D24F42" w14:textId="4555B563" w:rsidR="0013000A" w:rsidRPr="00E36734" w:rsidRDefault="00EE38EB" w:rsidP="0013000A">
            <w:pPr>
              <w:spacing w:line="360" w:lineRule="auto"/>
              <w:jc w:val="both"/>
              <w:rPr>
                <w:color w:val="222222"/>
                <w:sz w:val="18"/>
                <w:szCs w:val="18"/>
              </w:rPr>
            </w:pPr>
            <w:r>
              <w:rPr>
                <w:color w:val="222222"/>
                <w:sz w:val="18"/>
                <w:szCs w:val="18"/>
              </w:rPr>
              <w:t>Πάνω από 3 μήνες</w:t>
            </w:r>
          </w:p>
        </w:tc>
        <w:tc>
          <w:tcPr>
            <w:tcW w:w="925" w:type="pct"/>
            <w:noWrap/>
          </w:tcPr>
          <w:p w14:paraId="29375971" w14:textId="290F20FD" w:rsidR="0013000A" w:rsidRPr="00E36734" w:rsidRDefault="00EE38EB" w:rsidP="0013000A">
            <w:pPr>
              <w:spacing w:line="360" w:lineRule="auto"/>
              <w:jc w:val="center"/>
              <w:rPr>
                <w:color w:val="222222"/>
                <w:sz w:val="18"/>
                <w:szCs w:val="18"/>
              </w:rPr>
            </w:pPr>
            <w:r>
              <w:rPr>
                <w:color w:val="222222"/>
                <w:sz w:val="18"/>
                <w:szCs w:val="18"/>
              </w:rPr>
              <w:t>20,9</w:t>
            </w:r>
          </w:p>
        </w:tc>
        <w:tc>
          <w:tcPr>
            <w:tcW w:w="809" w:type="pct"/>
            <w:noWrap/>
          </w:tcPr>
          <w:p w14:paraId="4B6EFBF2" w14:textId="01777B98" w:rsidR="0013000A" w:rsidRPr="00E36734" w:rsidRDefault="00EE38EB" w:rsidP="0013000A">
            <w:pPr>
              <w:spacing w:line="360" w:lineRule="auto"/>
              <w:jc w:val="center"/>
              <w:rPr>
                <w:color w:val="222222"/>
                <w:sz w:val="18"/>
                <w:szCs w:val="18"/>
              </w:rPr>
            </w:pPr>
            <w:r>
              <w:rPr>
                <w:color w:val="222222"/>
                <w:sz w:val="18"/>
                <w:szCs w:val="18"/>
              </w:rPr>
              <w:t>33,7</w:t>
            </w:r>
          </w:p>
        </w:tc>
        <w:tc>
          <w:tcPr>
            <w:tcW w:w="920" w:type="pct"/>
            <w:noWrap/>
          </w:tcPr>
          <w:p w14:paraId="7BC46015" w14:textId="1FE1CA63" w:rsidR="0013000A" w:rsidRPr="00E36734" w:rsidRDefault="00EE38EB" w:rsidP="0013000A">
            <w:pPr>
              <w:spacing w:line="360" w:lineRule="auto"/>
              <w:jc w:val="center"/>
              <w:rPr>
                <w:color w:val="222222"/>
                <w:sz w:val="18"/>
                <w:szCs w:val="18"/>
              </w:rPr>
            </w:pPr>
            <w:r>
              <w:rPr>
                <w:color w:val="222222"/>
                <w:sz w:val="18"/>
                <w:szCs w:val="18"/>
              </w:rPr>
              <w:t>33,8</w:t>
            </w:r>
          </w:p>
        </w:tc>
        <w:tc>
          <w:tcPr>
            <w:tcW w:w="962" w:type="pct"/>
            <w:noWrap/>
          </w:tcPr>
          <w:p w14:paraId="37A6F86B" w14:textId="511B5939" w:rsidR="0013000A" w:rsidRPr="00E36734" w:rsidRDefault="00EE38EB" w:rsidP="0013000A">
            <w:pPr>
              <w:spacing w:line="360" w:lineRule="auto"/>
              <w:jc w:val="center"/>
              <w:rPr>
                <w:color w:val="222222"/>
                <w:sz w:val="18"/>
                <w:szCs w:val="18"/>
              </w:rPr>
            </w:pPr>
            <w:r>
              <w:rPr>
                <w:color w:val="222222"/>
                <w:sz w:val="18"/>
                <w:szCs w:val="18"/>
              </w:rPr>
              <w:t>16,2</w:t>
            </w:r>
          </w:p>
        </w:tc>
      </w:tr>
    </w:tbl>
    <w:p w14:paraId="195800DB" w14:textId="77777777" w:rsidR="008C7281" w:rsidRPr="00E36734" w:rsidRDefault="008C7281" w:rsidP="000948E7">
      <w:pPr>
        <w:spacing w:after="0" w:line="360" w:lineRule="auto"/>
        <w:jc w:val="both"/>
        <w:rPr>
          <w:rFonts w:ascii="Times New Roman" w:eastAsia="Times New Roman" w:hAnsi="Times New Roman" w:cs="Times New Roman"/>
          <w:color w:val="222222"/>
          <w:sz w:val="24"/>
          <w:szCs w:val="24"/>
          <w:lang w:eastAsia="el-GR"/>
        </w:rPr>
      </w:pPr>
    </w:p>
    <w:p w14:paraId="4C8AF9D4" w14:textId="1B228028" w:rsidR="00364B8A" w:rsidRPr="00DF32C4" w:rsidRDefault="00850C0A" w:rsidP="006D0D98">
      <w:pPr>
        <w:spacing w:after="0" w:line="36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Η ανάγκη των επιχειρήσεων για χρηματοδότηση και παράλληλα η δυσκολία πρόσβασης των επιχειρήσεων σε τραπεζικό δανεισμό φαίνεται και από τα ευρήματα που αποτυπώνονται στα Γραφήματα 14 και 15. Συγκεκριμένα</w:t>
      </w:r>
      <w:r w:rsidR="00457CC7">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eastAsia="el-GR"/>
        </w:rPr>
        <w:t xml:space="preserve"> το 17,2% των επιχειρήσεων απευθύνθηκ</w:t>
      </w:r>
      <w:r w:rsidR="00F510CC">
        <w:rPr>
          <w:rFonts w:ascii="Times New Roman" w:eastAsia="Times New Roman" w:hAnsi="Times New Roman" w:cs="Times New Roman"/>
          <w:color w:val="222222"/>
          <w:sz w:val="24"/>
          <w:szCs w:val="24"/>
          <w:lang w:eastAsia="el-GR"/>
        </w:rPr>
        <w:t>ε</w:t>
      </w:r>
      <w:r>
        <w:rPr>
          <w:rFonts w:ascii="Times New Roman" w:eastAsia="Times New Roman" w:hAnsi="Times New Roman" w:cs="Times New Roman"/>
          <w:color w:val="222222"/>
          <w:sz w:val="24"/>
          <w:szCs w:val="24"/>
          <w:lang w:eastAsia="el-GR"/>
        </w:rPr>
        <w:t xml:space="preserve"> σε τράπεζα για χρηματοδότηση το προηγούμενο έτος, ποσοστό </w:t>
      </w:r>
      <w:r w:rsidR="00F510CC">
        <w:rPr>
          <w:rFonts w:ascii="Times New Roman" w:eastAsia="Times New Roman" w:hAnsi="Times New Roman" w:cs="Times New Roman"/>
          <w:color w:val="222222"/>
          <w:sz w:val="24"/>
          <w:szCs w:val="24"/>
          <w:lang w:eastAsia="el-GR"/>
        </w:rPr>
        <w:t>υπερ</w:t>
      </w:r>
      <w:r>
        <w:rPr>
          <w:rFonts w:ascii="Times New Roman" w:eastAsia="Times New Roman" w:hAnsi="Times New Roman" w:cs="Times New Roman"/>
          <w:color w:val="222222"/>
          <w:sz w:val="24"/>
          <w:szCs w:val="24"/>
          <w:lang w:eastAsia="el-GR"/>
        </w:rPr>
        <w:t>διπλάσιο από σχετικά ευρήματα αντίστοιχων προηγούμενων ερευνών του ΙΜΕ ΓΣΕΒΕΕ</w:t>
      </w:r>
      <w:r w:rsidR="00F510CC">
        <w:rPr>
          <w:rFonts w:ascii="Times New Roman" w:eastAsia="Times New Roman" w:hAnsi="Times New Roman" w:cs="Times New Roman"/>
          <w:color w:val="222222"/>
          <w:sz w:val="24"/>
          <w:szCs w:val="24"/>
          <w:lang w:eastAsia="el-GR"/>
        </w:rPr>
        <w:t xml:space="preserve"> (7,8% - Ιούλιος 2019)</w:t>
      </w:r>
      <w:r>
        <w:rPr>
          <w:rFonts w:ascii="Times New Roman" w:eastAsia="Times New Roman" w:hAnsi="Times New Roman" w:cs="Times New Roman"/>
          <w:color w:val="222222"/>
          <w:sz w:val="24"/>
          <w:szCs w:val="24"/>
          <w:lang w:eastAsia="el-GR"/>
        </w:rPr>
        <w:t>.</w:t>
      </w:r>
      <w:r w:rsidR="00F510CC">
        <w:rPr>
          <w:rFonts w:ascii="Times New Roman" w:eastAsia="Times New Roman" w:hAnsi="Times New Roman" w:cs="Times New Roman"/>
          <w:color w:val="222222"/>
          <w:sz w:val="24"/>
          <w:szCs w:val="24"/>
          <w:lang w:eastAsia="el-GR"/>
        </w:rPr>
        <w:t xml:space="preserve"> Ωστόσο</w:t>
      </w:r>
      <w:r w:rsidR="00457CC7">
        <w:rPr>
          <w:rFonts w:ascii="Times New Roman" w:eastAsia="Times New Roman" w:hAnsi="Times New Roman" w:cs="Times New Roman"/>
          <w:color w:val="222222"/>
          <w:sz w:val="24"/>
          <w:szCs w:val="24"/>
          <w:lang w:eastAsia="el-GR"/>
        </w:rPr>
        <w:t>,</w:t>
      </w:r>
      <w:r w:rsidR="00F510CC">
        <w:rPr>
          <w:rFonts w:ascii="Times New Roman" w:eastAsia="Times New Roman" w:hAnsi="Times New Roman" w:cs="Times New Roman"/>
          <w:color w:val="222222"/>
          <w:sz w:val="24"/>
          <w:szCs w:val="24"/>
          <w:lang w:eastAsia="el-GR"/>
        </w:rPr>
        <w:t xml:space="preserve"> όπως φαίνεται στο Γράφημα 15 από τις επιχειρήσεις που </w:t>
      </w:r>
      <w:r w:rsidR="00F510CC">
        <w:rPr>
          <w:rFonts w:ascii="Times New Roman" w:eastAsia="Times New Roman" w:hAnsi="Times New Roman" w:cs="Times New Roman"/>
          <w:color w:val="222222"/>
          <w:sz w:val="24"/>
          <w:szCs w:val="24"/>
          <w:lang w:eastAsia="el-GR"/>
        </w:rPr>
        <w:lastRenderedPageBreak/>
        <w:t>απευθύνθηκαν σε τράπεζα για χρηματοδότηση, λιγότερες από τις μισές (47,1%) τελικά έλαβαν τη χρηματοδότηση που αιτήθηκαν. Στο σύνολο των επιχειρήσεων</w:t>
      </w:r>
      <w:r w:rsidR="00457CC7">
        <w:rPr>
          <w:rFonts w:ascii="Times New Roman" w:eastAsia="Times New Roman" w:hAnsi="Times New Roman" w:cs="Times New Roman"/>
          <w:color w:val="222222"/>
          <w:sz w:val="24"/>
          <w:szCs w:val="24"/>
          <w:lang w:eastAsia="el-GR"/>
        </w:rPr>
        <w:t>,</w:t>
      </w:r>
      <w:r w:rsidR="00F510CC">
        <w:rPr>
          <w:rFonts w:ascii="Times New Roman" w:eastAsia="Times New Roman" w:hAnsi="Times New Roman" w:cs="Times New Roman"/>
          <w:color w:val="222222"/>
          <w:sz w:val="24"/>
          <w:szCs w:val="24"/>
          <w:lang w:eastAsia="el-GR"/>
        </w:rPr>
        <w:t xml:space="preserve"> μόλις το 8,8% έλαβε τραπεζική χρηματοδότηση. Παρόλο που το ποσοστό αυτό είναι υπερδιπλάσιο σε σχέση με ευρήματα προηγούμενων ερευνών του ΙΜΕ ΓΣΕΒΕΕ (3,6 % - Ιούλιος 2019)</w:t>
      </w:r>
      <w:r w:rsidR="00457CC7">
        <w:rPr>
          <w:rFonts w:ascii="Times New Roman" w:eastAsia="Times New Roman" w:hAnsi="Times New Roman" w:cs="Times New Roman"/>
          <w:color w:val="222222"/>
          <w:sz w:val="24"/>
          <w:szCs w:val="24"/>
          <w:lang w:eastAsia="el-GR"/>
        </w:rPr>
        <w:t>, εξακολουθεί να</w:t>
      </w:r>
      <w:r w:rsidR="00F510CC">
        <w:rPr>
          <w:rFonts w:ascii="Times New Roman" w:eastAsia="Times New Roman" w:hAnsi="Times New Roman" w:cs="Times New Roman"/>
          <w:color w:val="222222"/>
          <w:sz w:val="24"/>
          <w:szCs w:val="24"/>
          <w:lang w:eastAsia="el-GR"/>
        </w:rPr>
        <w:t xml:space="preserve"> παραμένει αρκετ</w:t>
      </w:r>
      <w:r w:rsidR="00457CC7">
        <w:rPr>
          <w:rFonts w:ascii="Times New Roman" w:eastAsia="Times New Roman" w:hAnsi="Times New Roman" w:cs="Times New Roman"/>
          <w:color w:val="222222"/>
          <w:sz w:val="24"/>
          <w:szCs w:val="24"/>
          <w:lang w:eastAsia="el-GR"/>
        </w:rPr>
        <w:t>ά</w:t>
      </w:r>
      <w:r w:rsidR="00F510CC">
        <w:rPr>
          <w:rFonts w:ascii="Times New Roman" w:eastAsia="Times New Roman" w:hAnsi="Times New Roman" w:cs="Times New Roman"/>
          <w:color w:val="222222"/>
          <w:sz w:val="24"/>
          <w:szCs w:val="24"/>
          <w:lang w:eastAsia="el-GR"/>
        </w:rPr>
        <w:t xml:space="preserve"> χαμηλό συνυπολογίζοντας και τις αυξημένες ανάγκες χρηματοδότησης των επιχειρήσεων λόγω της συγκυρίας. </w:t>
      </w:r>
    </w:p>
    <w:tbl>
      <w:tblPr>
        <w:tblStyle w:val="a9"/>
        <w:tblW w:w="0" w:type="auto"/>
        <w:tblLook w:val="04A0" w:firstRow="1" w:lastRow="0" w:firstColumn="1" w:lastColumn="0" w:noHBand="0" w:noVBand="1"/>
      </w:tblPr>
      <w:tblGrid>
        <w:gridCol w:w="5267"/>
        <w:gridCol w:w="5297"/>
      </w:tblGrid>
      <w:tr w:rsidR="00364B8A" w14:paraId="5E8FBE85" w14:textId="77777777" w:rsidTr="00364B8A">
        <w:tc>
          <w:tcPr>
            <w:tcW w:w="5353" w:type="dxa"/>
          </w:tcPr>
          <w:p w14:paraId="1D34E518" w14:textId="4A7A3B95" w:rsidR="00364B8A" w:rsidRDefault="00364B8A" w:rsidP="00364B8A">
            <w:pPr>
              <w:spacing w:line="360" w:lineRule="auto"/>
              <w:jc w:val="center"/>
              <w:rPr>
                <w:b/>
                <w:bCs/>
                <w:color w:val="222222"/>
                <w:sz w:val="24"/>
                <w:szCs w:val="24"/>
              </w:rPr>
            </w:pPr>
            <w:r>
              <w:rPr>
                <w:b/>
                <w:bCs/>
                <w:color w:val="222222"/>
                <w:sz w:val="24"/>
                <w:szCs w:val="24"/>
              </w:rPr>
              <w:t>Γράφημα 14</w:t>
            </w:r>
          </w:p>
          <w:p w14:paraId="0E718229" w14:textId="25D2A5F1" w:rsidR="00364B8A" w:rsidRPr="00364B8A" w:rsidRDefault="00364B8A" w:rsidP="00364B8A">
            <w:pPr>
              <w:spacing w:line="360" w:lineRule="auto"/>
              <w:jc w:val="both"/>
              <w:rPr>
                <w:b/>
                <w:bCs/>
                <w:color w:val="222222"/>
                <w:sz w:val="24"/>
                <w:szCs w:val="24"/>
              </w:rPr>
            </w:pPr>
            <w:r w:rsidRPr="00364B8A">
              <w:rPr>
                <w:b/>
                <w:bCs/>
                <w:color w:val="222222"/>
                <w:sz w:val="24"/>
                <w:szCs w:val="24"/>
              </w:rPr>
              <w:t>Το προηγούμενο έτος απευθυνθήκατε σε τράπεζα για τραπεζική χρηματοδότηση ακόμα και για δάνεια που χορηγήθηκαν με την εγγύηση του ελληνικού δημοσίου;</w:t>
            </w:r>
          </w:p>
        </w:tc>
        <w:tc>
          <w:tcPr>
            <w:tcW w:w="5211" w:type="dxa"/>
          </w:tcPr>
          <w:p w14:paraId="27242422" w14:textId="7BE0528D" w:rsidR="00364B8A" w:rsidRDefault="00364B8A" w:rsidP="00364B8A">
            <w:pPr>
              <w:spacing w:line="360" w:lineRule="auto"/>
              <w:jc w:val="center"/>
              <w:rPr>
                <w:b/>
                <w:bCs/>
                <w:color w:val="222222"/>
                <w:sz w:val="24"/>
                <w:szCs w:val="24"/>
              </w:rPr>
            </w:pPr>
            <w:r>
              <w:rPr>
                <w:b/>
                <w:bCs/>
                <w:color w:val="222222"/>
                <w:sz w:val="24"/>
                <w:szCs w:val="24"/>
              </w:rPr>
              <w:t>Γράφημα 15</w:t>
            </w:r>
          </w:p>
          <w:p w14:paraId="26E35988" w14:textId="2888E774" w:rsidR="00364B8A" w:rsidRPr="00364B8A" w:rsidRDefault="00364B8A" w:rsidP="00364B8A">
            <w:pPr>
              <w:spacing w:line="360" w:lineRule="auto"/>
              <w:jc w:val="both"/>
              <w:rPr>
                <w:b/>
                <w:bCs/>
                <w:color w:val="222222"/>
                <w:sz w:val="24"/>
                <w:szCs w:val="24"/>
              </w:rPr>
            </w:pPr>
            <w:r w:rsidRPr="00364B8A">
              <w:rPr>
                <w:b/>
                <w:bCs/>
                <w:color w:val="222222"/>
                <w:sz w:val="24"/>
                <w:szCs w:val="24"/>
              </w:rPr>
              <w:t>Έγινε δεκτό το αίτημά σας ή απορρίφθηκε;</w:t>
            </w:r>
          </w:p>
          <w:p w14:paraId="339B0EB3" w14:textId="4734758B" w:rsidR="00364B8A" w:rsidRPr="00364B8A" w:rsidRDefault="00364B8A" w:rsidP="00364B8A">
            <w:pPr>
              <w:spacing w:line="360" w:lineRule="auto"/>
              <w:jc w:val="both"/>
              <w:rPr>
                <w:b/>
                <w:bCs/>
                <w:color w:val="222222"/>
                <w:sz w:val="16"/>
                <w:szCs w:val="16"/>
              </w:rPr>
            </w:pPr>
            <w:r w:rsidRPr="00364B8A">
              <w:rPr>
                <w:b/>
                <w:bCs/>
                <w:color w:val="222222"/>
                <w:sz w:val="16"/>
                <w:szCs w:val="16"/>
              </w:rPr>
              <w:t>-ΒΑΣΗ: Όσοι απευθυνθήκαν σε τράπεζα το προηγούμενο έτος -</w:t>
            </w:r>
          </w:p>
        </w:tc>
      </w:tr>
      <w:tr w:rsidR="00364B8A" w14:paraId="44E94E2D" w14:textId="77777777" w:rsidTr="00364B8A">
        <w:tc>
          <w:tcPr>
            <w:tcW w:w="5353" w:type="dxa"/>
          </w:tcPr>
          <w:p w14:paraId="4B8CD7D2" w14:textId="6A92B307" w:rsidR="00364B8A" w:rsidRDefault="00364B8A" w:rsidP="006D0D98">
            <w:pPr>
              <w:spacing w:line="360" w:lineRule="auto"/>
              <w:jc w:val="both"/>
              <w:rPr>
                <w:b/>
                <w:bCs/>
                <w:color w:val="222222"/>
                <w:sz w:val="24"/>
                <w:szCs w:val="24"/>
                <w:u w:val="single"/>
              </w:rPr>
            </w:pPr>
            <w:r w:rsidRPr="000163DF">
              <w:rPr>
                <w:b/>
                <w:bCs/>
                <w:noProof/>
                <w:color w:val="222222"/>
                <w:sz w:val="24"/>
                <w:szCs w:val="24"/>
                <w:u w:val="single"/>
                <w:lang w:val="en-US"/>
              </w:rPr>
              <w:drawing>
                <wp:inline distT="0" distB="0" distL="0" distR="0" wp14:anchorId="18EB11F3" wp14:editId="6218EFBA">
                  <wp:extent cx="3238500" cy="2133600"/>
                  <wp:effectExtent l="0" t="0" r="19050" b="1905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211" w:type="dxa"/>
          </w:tcPr>
          <w:p w14:paraId="75407584" w14:textId="16BA2C99" w:rsidR="00364B8A" w:rsidRDefault="00364B8A" w:rsidP="006D0D98">
            <w:pPr>
              <w:spacing w:line="360" w:lineRule="auto"/>
              <w:jc w:val="both"/>
              <w:rPr>
                <w:b/>
                <w:bCs/>
                <w:color w:val="222222"/>
                <w:sz w:val="24"/>
                <w:szCs w:val="24"/>
                <w:u w:val="single"/>
              </w:rPr>
            </w:pPr>
            <w:r w:rsidRPr="000163DF">
              <w:rPr>
                <w:b/>
                <w:bCs/>
                <w:noProof/>
                <w:color w:val="222222"/>
                <w:sz w:val="24"/>
                <w:szCs w:val="24"/>
                <w:u w:val="single"/>
                <w:lang w:val="en-US"/>
              </w:rPr>
              <w:drawing>
                <wp:inline distT="0" distB="0" distL="0" distR="0" wp14:anchorId="7F4D9B1B" wp14:editId="1ECFAF9E">
                  <wp:extent cx="3253740" cy="2164080"/>
                  <wp:effectExtent l="0" t="0" r="22860" b="2667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1AAF3AE8" w14:textId="20910363" w:rsidR="003F27D9" w:rsidRPr="00DF32C4" w:rsidRDefault="00F510CC" w:rsidP="006D0D98">
      <w:pPr>
        <w:spacing w:after="0" w:line="360" w:lineRule="auto"/>
        <w:jc w:val="both"/>
        <w:rPr>
          <w:rFonts w:ascii="Times New Roman" w:eastAsia="Times New Roman" w:hAnsi="Times New Roman" w:cs="Times New Roman"/>
          <w:color w:val="222222"/>
          <w:sz w:val="24"/>
          <w:szCs w:val="24"/>
          <w:lang w:eastAsia="el-GR"/>
        </w:rPr>
      </w:pPr>
      <w:r w:rsidRPr="00F510CC">
        <w:rPr>
          <w:rFonts w:ascii="Times New Roman" w:eastAsia="Times New Roman" w:hAnsi="Times New Roman" w:cs="Times New Roman"/>
          <w:color w:val="222222"/>
          <w:sz w:val="24"/>
          <w:szCs w:val="24"/>
          <w:lang w:eastAsia="el-GR"/>
        </w:rPr>
        <w:t>Όσον αφορά τις επιχειρήσεις που δεν α</w:t>
      </w:r>
      <w:r>
        <w:rPr>
          <w:rFonts w:ascii="Times New Roman" w:eastAsia="Times New Roman" w:hAnsi="Times New Roman" w:cs="Times New Roman"/>
          <w:color w:val="222222"/>
          <w:sz w:val="24"/>
          <w:szCs w:val="24"/>
          <w:lang w:eastAsia="el-GR"/>
        </w:rPr>
        <w:t>πευθύνθηκαν σε τράπεζα για χρηματοδότηση το 56,8% δήλωσε πως δεν χρειαζόταν δάνειο, το 19,8% δήλωσε πως δεν εμπιστεύεται τις τράπεζες, ενώ το 10,1% δήλωσε</w:t>
      </w:r>
      <w:r w:rsidR="006A290C">
        <w:rPr>
          <w:rFonts w:ascii="Times New Roman" w:eastAsia="Times New Roman" w:hAnsi="Times New Roman" w:cs="Times New Roman"/>
          <w:color w:val="222222"/>
          <w:sz w:val="24"/>
          <w:szCs w:val="24"/>
          <w:lang w:eastAsia="el-GR"/>
        </w:rPr>
        <w:t xml:space="preserve"> πως</w:t>
      </w:r>
      <w:r>
        <w:rPr>
          <w:rFonts w:ascii="Times New Roman" w:eastAsia="Times New Roman" w:hAnsi="Times New Roman" w:cs="Times New Roman"/>
          <w:color w:val="222222"/>
          <w:sz w:val="24"/>
          <w:szCs w:val="24"/>
          <w:lang w:eastAsia="el-GR"/>
        </w:rPr>
        <w:t xml:space="preserve"> δεν πληρούσε τις προϋποθέσεις τραπεζικού δανεισμού</w:t>
      </w:r>
      <w:r w:rsidR="006A290C">
        <w:rPr>
          <w:rFonts w:ascii="Times New Roman" w:eastAsia="Times New Roman" w:hAnsi="Times New Roman" w:cs="Times New Roman"/>
          <w:color w:val="222222"/>
          <w:sz w:val="24"/>
          <w:szCs w:val="24"/>
          <w:lang w:eastAsia="el-GR"/>
        </w:rPr>
        <w:t xml:space="preserve"> (Γράφημα 16)</w:t>
      </w:r>
      <w:r>
        <w:rPr>
          <w:rFonts w:ascii="Times New Roman" w:eastAsia="Times New Roman" w:hAnsi="Times New Roman" w:cs="Times New Roman"/>
          <w:color w:val="222222"/>
          <w:sz w:val="24"/>
          <w:szCs w:val="24"/>
          <w:lang w:eastAsia="el-GR"/>
        </w:rPr>
        <w:t xml:space="preserve">. </w:t>
      </w:r>
    </w:p>
    <w:p w14:paraId="4F73899B" w14:textId="36132558" w:rsidR="003F27D9" w:rsidRPr="00364B8A" w:rsidRDefault="003F27D9" w:rsidP="00364B8A">
      <w:pPr>
        <w:spacing w:after="0" w:line="360" w:lineRule="auto"/>
        <w:jc w:val="center"/>
        <w:rPr>
          <w:rFonts w:ascii="Times New Roman" w:eastAsia="Times New Roman" w:hAnsi="Times New Roman" w:cs="Times New Roman"/>
          <w:b/>
          <w:bCs/>
          <w:color w:val="222222"/>
          <w:sz w:val="24"/>
          <w:szCs w:val="24"/>
          <w:lang w:eastAsia="el-GR"/>
        </w:rPr>
      </w:pPr>
      <w:r w:rsidRPr="00364B8A">
        <w:rPr>
          <w:rFonts w:ascii="Times New Roman" w:eastAsia="Times New Roman" w:hAnsi="Times New Roman" w:cs="Times New Roman"/>
          <w:b/>
          <w:bCs/>
          <w:color w:val="222222"/>
          <w:sz w:val="24"/>
          <w:szCs w:val="24"/>
          <w:lang w:eastAsia="el-GR"/>
        </w:rPr>
        <w:t>Γράφημα 16</w:t>
      </w:r>
    </w:p>
    <w:p w14:paraId="4DA4DBCE" w14:textId="4FD712A3" w:rsidR="00DC008D" w:rsidRPr="006A290C" w:rsidRDefault="00DC008D" w:rsidP="00364B8A">
      <w:pPr>
        <w:spacing w:after="0" w:line="360" w:lineRule="auto"/>
        <w:jc w:val="center"/>
        <w:rPr>
          <w:rFonts w:ascii="Times New Roman" w:eastAsia="Times New Roman" w:hAnsi="Times New Roman" w:cs="Times New Roman"/>
          <w:b/>
          <w:bCs/>
          <w:color w:val="222222"/>
          <w:sz w:val="20"/>
          <w:szCs w:val="20"/>
          <w:lang w:eastAsia="el-GR"/>
        </w:rPr>
      </w:pPr>
      <w:r w:rsidRPr="00364B8A">
        <w:rPr>
          <w:rFonts w:ascii="Times New Roman" w:eastAsia="Times New Roman" w:hAnsi="Times New Roman" w:cs="Times New Roman"/>
          <w:b/>
          <w:bCs/>
          <w:color w:val="222222"/>
          <w:sz w:val="24"/>
          <w:szCs w:val="24"/>
          <w:lang w:eastAsia="el-GR"/>
        </w:rPr>
        <w:t>Δεν απευθυνθήκατε γιατί;</w:t>
      </w:r>
      <w:r w:rsidRPr="00364B8A">
        <w:rPr>
          <w:rFonts w:ascii="Times New Roman" w:eastAsia="Times New Roman" w:hAnsi="Times New Roman" w:cs="Times New Roman"/>
          <w:b/>
          <w:bCs/>
          <w:color w:val="222222"/>
          <w:sz w:val="24"/>
          <w:szCs w:val="24"/>
          <w:lang w:eastAsia="el-GR"/>
        </w:rPr>
        <w:br/>
      </w:r>
      <w:r w:rsidRPr="006A290C">
        <w:rPr>
          <w:rFonts w:ascii="Times New Roman" w:eastAsia="Times New Roman" w:hAnsi="Times New Roman" w:cs="Times New Roman"/>
          <w:b/>
          <w:bCs/>
          <w:color w:val="222222"/>
          <w:sz w:val="20"/>
          <w:szCs w:val="20"/>
          <w:lang w:eastAsia="el-GR"/>
        </w:rPr>
        <w:t>ΒΑΣΗ: Όσοι δεν απευθυνθήκαν σε τράπεζα το προηγούμενο έτος</w:t>
      </w:r>
    </w:p>
    <w:p w14:paraId="093B00BB" w14:textId="77777777" w:rsidR="00DC008D" w:rsidRPr="00364B8A" w:rsidRDefault="00DC008D" w:rsidP="00364B8A">
      <w:pPr>
        <w:spacing w:after="0" w:line="360" w:lineRule="auto"/>
        <w:jc w:val="center"/>
        <w:rPr>
          <w:rFonts w:ascii="Times New Roman" w:eastAsia="Times New Roman" w:hAnsi="Times New Roman" w:cs="Times New Roman"/>
          <w:b/>
          <w:bCs/>
          <w:color w:val="222222"/>
          <w:sz w:val="24"/>
          <w:szCs w:val="24"/>
          <w:lang w:eastAsia="el-GR"/>
        </w:rPr>
      </w:pPr>
    </w:p>
    <w:p w14:paraId="50DF17C4" w14:textId="725068E9" w:rsidR="00DC008D" w:rsidRDefault="00DC008D" w:rsidP="006D0D98">
      <w:pPr>
        <w:spacing w:after="0" w:line="360" w:lineRule="auto"/>
        <w:jc w:val="both"/>
        <w:rPr>
          <w:rFonts w:ascii="Times New Roman" w:eastAsia="Times New Roman" w:hAnsi="Times New Roman" w:cs="Times New Roman"/>
          <w:b/>
          <w:bCs/>
          <w:color w:val="222222"/>
          <w:sz w:val="24"/>
          <w:szCs w:val="24"/>
          <w:u w:val="single"/>
          <w:lang w:eastAsia="el-GR"/>
        </w:rPr>
      </w:pPr>
      <w:r w:rsidRPr="00DC008D">
        <w:rPr>
          <w:rFonts w:ascii="Times New Roman" w:eastAsia="Times New Roman" w:hAnsi="Times New Roman" w:cs="Times New Roman"/>
          <w:b/>
          <w:bCs/>
          <w:noProof/>
          <w:color w:val="222222"/>
          <w:sz w:val="24"/>
          <w:szCs w:val="24"/>
          <w:u w:val="single"/>
          <w:lang w:val="en-US"/>
        </w:rPr>
        <w:drawing>
          <wp:inline distT="0" distB="0" distL="0" distR="0" wp14:anchorId="11D597CD" wp14:editId="584B1801">
            <wp:extent cx="6568440" cy="1973580"/>
            <wp:effectExtent l="0" t="0" r="22860" b="26670"/>
            <wp:docPr id="43" name="Γράφημα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F0E548" w14:textId="37E1ABBB" w:rsidR="006A290C" w:rsidRPr="00DF32C4" w:rsidRDefault="006A290C" w:rsidP="006D0D98">
      <w:pPr>
        <w:spacing w:after="0" w:line="36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lastRenderedPageBreak/>
        <w:t xml:space="preserve">Τέλος 6 στις 10 επιχειρήσεις (61,2%) δήλωσαν πως η επικοινωνία και η πληροφόρηση που παρέχουν οι τράπεζες για τα δάνεια δεν είναι ικανοποιητική, έναντι του 23,4% που θεωρεί πως τόσο η επικοινωνία όσο και η σχετική πληροφόρηση από τις τράπεζες για τα δάνεια είναι ικανοποιητική. Το εύρημα αυτό που υποδηλώνει πως υπάρχει </w:t>
      </w:r>
      <w:r w:rsidR="00DF32C4">
        <w:rPr>
          <w:rFonts w:ascii="Times New Roman" w:eastAsia="Times New Roman" w:hAnsi="Times New Roman" w:cs="Times New Roman"/>
          <w:color w:val="222222"/>
          <w:sz w:val="24"/>
          <w:szCs w:val="24"/>
          <w:lang w:eastAsia="el-GR"/>
        </w:rPr>
        <w:t>έλλειμμα</w:t>
      </w:r>
      <w:r>
        <w:rPr>
          <w:rFonts w:ascii="Times New Roman" w:eastAsia="Times New Roman" w:hAnsi="Times New Roman" w:cs="Times New Roman"/>
          <w:color w:val="222222"/>
          <w:sz w:val="24"/>
          <w:szCs w:val="24"/>
          <w:lang w:eastAsia="el-GR"/>
        </w:rPr>
        <w:t xml:space="preserve"> επικοινωνίας και ορθής πληροφόρησης πιθανόν να αποτελεί έναν από τους παράγοντες που οδηγούν στο χαμηλό τραπεζικό δανεισμό των μικρών και πολύ μικρών επιχειρήσεων. Ως εκ </w:t>
      </w:r>
      <w:r w:rsidR="00326412">
        <w:rPr>
          <w:rFonts w:ascii="Times New Roman" w:eastAsia="Times New Roman" w:hAnsi="Times New Roman" w:cs="Times New Roman"/>
          <w:color w:val="222222"/>
          <w:sz w:val="24"/>
          <w:szCs w:val="24"/>
          <w:lang w:eastAsia="el-GR"/>
        </w:rPr>
        <w:t>τούτου</w:t>
      </w:r>
      <w:r w:rsidR="00457CC7">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eastAsia="el-GR"/>
        </w:rPr>
        <w:t xml:space="preserve"> </w:t>
      </w:r>
      <w:r w:rsidR="00326412">
        <w:rPr>
          <w:rFonts w:ascii="Times New Roman" w:eastAsia="Times New Roman" w:hAnsi="Times New Roman" w:cs="Times New Roman"/>
          <w:color w:val="222222"/>
          <w:sz w:val="24"/>
          <w:szCs w:val="24"/>
          <w:lang w:eastAsia="el-GR"/>
        </w:rPr>
        <w:t xml:space="preserve">μάλλον θα ήταν ωφέλιμη η ανάπτυξη σχετικών συμβουλευτικών υπηρεσιών ή/και εργαλείων ώστε να καλυφθεί το </w:t>
      </w:r>
      <w:r w:rsidR="00DF32C4">
        <w:rPr>
          <w:rFonts w:ascii="Times New Roman" w:eastAsia="Times New Roman" w:hAnsi="Times New Roman" w:cs="Times New Roman"/>
          <w:color w:val="222222"/>
          <w:sz w:val="24"/>
          <w:szCs w:val="24"/>
          <w:lang w:eastAsia="el-GR"/>
        </w:rPr>
        <w:t>έλλειμμα</w:t>
      </w:r>
      <w:r w:rsidR="00326412">
        <w:rPr>
          <w:rFonts w:ascii="Times New Roman" w:eastAsia="Times New Roman" w:hAnsi="Times New Roman" w:cs="Times New Roman"/>
          <w:color w:val="222222"/>
          <w:sz w:val="24"/>
          <w:szCs w:val="24"/>
          <w:lang w:eastAsia="el-GR"/>
        </w:rPr>
        <w:t xml:space="preserve"> επικοινωνίας και ενημέρωσης που φαίνεται πως υπάρχει. </w:t>
      </w:r>
    </w:p>
    <w:p w14:paraId="178C6FCC" w14:textId="13A84BD7" w:rsidR="003F27D9" w:rsidRPr="00364B8A" w:rsidRDefault="003F27D9" w:rsidP="00364B8A">
      <w:pPr>
        <w:spacing w:after="0" w:line="360" w:lineRule="auto"/>
        <w:jc w:val="center"/>
        <w:rPr>
          <w:rFonts w:ascii="Times New Roman" w:eastAsia="Times New Roman" w:hAnsi="Times New Roman" w:cs="Times New Roman"/>
          <w:b/>
          <w:bCs/>
          <w:color w:val="222222"/>
          <w:sz w:val="24"/>
          <w:szCs w:val="24"/>
          <w:lang w:eastAsia="el-GR"/>
        </w:rPr>
      </w:pPr>
      <w:r w:rsidRPr="00364B8A">
        <w:rPr>
          <w:rFonts w:ascii="Times New Roman" w:eastAsia="Times New Roman" w:hAnsi="Times New Roman" w:cs="Times New Roman"/>
          <w:b/>
          <w:bCs/>
          <w:color w:val="222222"/>
          <w:sz w:val="24"/>
          <w:szCs w:val="24"/>
          <w:lang w:eastAsia="el-GR"/>
        </w:rPr>
        <w:t>Γράφημα 17</w:t>
      </w:r>
    </w:p>
    <w:p w14:paraId="1C3E21CE" w14:textId="6ACF8C0B" w:rsidR="00DC008D" w:rsidRPr="00364B8A" w:rsidRDefault="00DC008D" w:rsidP="00364B8A">
      <w:pPr>
        <w:spacing w:after="0" w:line="360" w:lineRule="auto"/>
        <w:jc w:val="center"/>
        <w:rPr>
          <w:rFonts w:ascii="Times New Roman" w:eastAsia="Times New Roman" w:hAnsi="Times New Roman" w:cs="Times New Roman"/>
          <w:b/>
          <w:bCs/>
          <w:color w:val="222222"/>
          <w:sz w:val="24"/>
          <w:szCs w:val="24"/>
          <w:lang w:eastAsia="el-GR"/>
        </w:rPr>
      </w:pPr>
      <w:r w:rsidRPr="00364B8A">
        <w:rPr>
          <w:rFonts w:ascii="Times New Roman" w:eastAsia="Times New Roman" w:hAnsi="Times New Roman" w:cs="Times New Roman"/>
          <w:b/>
          <w:bCs/>
          <w:color w:val="222222"/>
          <w:sz w:val="24"/>
          <w:szCs w:val="24"/>
          <w:lang w:eastAsia="el-GR"/>
        </w:rPr>
        <w:t xml:space="preserve">Από την εμπειρία σας με τις τράπεζες θεωρείτε πως η πληροφόρηση που παρέχουν </w:t>
      </w:r>
      <w:r w:rsidRPr="00364B8A">
        <w:rPr>
          <w:rFonts w:ascii="Times New Roman" w:eastAsia="Times New Roman" w:hAnsi="Times New Roman" w:cs="Times New Roman"/>
          <w:b/>
          <w:bCs/>
          <w:color w:val="222222"/>
          <w:sz w:val="24"/>
          <w:szCs w:val="24"/>
          <w:lang w:eastAsia="el-GR"/>
        </w:rPr>
        <w:br/>
        <w:t>για τα δάνεια και γενικά η επικοινωνία είναι ικανοποιητική;</w:t>
      </w:r>
    </w:p>
    <w:p w14:paraId="1EA3605F" w14:textId="65E56F1D" w:rsidR="00DC008D" w:rsidRDefault="00DC008D" w:rsidP="006D0D98">
      <w:pPr>
        <w:spacing w:after="0" w:line="360" w:lineRule="auto"/>
        <w:jc w:val="both"/>
        <w:rPr>
          <w:rFonts w:ascii="Times New Roman" w:eastAsia="Times New Roman" w:hAnsi="Times New Roman" w:cs="Times New Roman"/>
          <w:b/>
          <w:bCs/>
          <w:color w:val="222222"/>
          <w:sz w:val="24"/>
          <w:szCs w:val="24"/>
          <w:u w:val="single"/>
          <w:lang w:eastAsia="el-GR"/>
        </w:rPr>
      </w:pPr>
      <w:r w:rsidRPr="00DC008D">
        <w:rPr>
          <w:rFonts w:ascii="Times New Roman" w:eastAsia="Times New Roman" w:hAnsi="Times New Roman" w:cs="Times New Roman"/>
          <w:b/>
          <w:bCs/>
          <w:noProof/>
          <w:color w:val="222222"/>
          <w:sz w:val="24"/>
          <w:szCs w:val="24"/>
          <w:u w:val="single"/>
          <w:lang w:val="en-US"/>
        </w:rPr>
        <w:drawing>
          <wp:inline distT="0" distB="0" distL="0" distR="0" wp14:anchorId="2DE485C0" wp14:editId="0BF28218">
            <wp:extent cx="6570980" cy="3078480"/>
            <wp:effectExtent l="0" t="0" r="1270" b="7620"/>
            <wp:docPr id="44" name="Γράφημα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616A51" w14:textId="77777777" w:rsidR="00045567" w:rsidRDefault="00045567" w:rsidP="006D0D98">
      <w:pPr>
        <w:spacing w:after="0" w:line="360" w:lineRule="auto"/>
        <w:jc w:val="both"/>
        <w:rPr>
          <w:rFonts w:ascii="Times New Roman" w:eastAsia="Times New Roman" w:hAnsi="Times New Roman" w:cs="Times New Roman"/>
          <w:b/>
          <w:bCs/>
          <w:color w:val="222222"/>
          <w:sz w:val="24"/>
          <w:szCs w:val="24"/>
          <w:u w:val="single"/>
          <w:lang w:eastAsia="el-GR"/>
        </w:rPr>
      </w:pPr>
    </w:p>
    <w:p w14:paraId="1DE893DA" w14:textId="624382B0" w:rsidR="008C7281" w:rsidRPr="00E36734" w:rsidRDefault="00694711" w:rsidP="006D0D98">
      <w:pPr>
        <w:spacing w:after="0" w:line="360" w:lineRule="auto"/>
        <w:jc w:val="both"/>
        <w:rPr>
          <w:rFonts w:ascii="Times New Roman" w:eastAsia="Times New Roman" w:hAnsi="Times New Roman" w:cs="Times New Roman"/>
          <w:b/>
          <w:bCs/>
          <w:color w:val="222222"/>
          <w:sz w:val="24"/>
          <w:szCs w:val="24"/>
          <w:u w:val="single"/>
          <w:lang w:eastAsia="el-GR"/>
        </w:rPr>
      </w:pPr>
      <w:r w:rsidRPr="00E36734">
        <w:rPr>
          <w:rFonts w:ascii="Times New Roman" w:eastAsia="Times New Roman" w:hAnsi="Times New Roman" w:cs="Times New Roman"/>
          <w:b/>
          <w:bCs/>
          <w:color w:val="222222"/>
          <w:sz w:val="24"/>
          <w:szCs w:val="24"/>
          <w:u w:val="single"/>
          <w:lang w:eastAsia="el-GR"/>
        </w:rPr>
        <w:t>Επενδύσεις</w:t>
      </w:r>
    </w:p>
    <w:p w14:paraId="1D2789E0" w14:textId="02A2D14F" w:rsidR="000948E7" w:rsidRDefault="006D0D98" w:rsidP="000948E7">
      <w:pPr>
        <w:spacing w:after="0" w:line="360" w:lineRule="auto"/>
        <w:jc w:val="both"/>
        <w:rPr>
          <w:rFonts w:ascii="Times New Roman" w:eastAsia="Times New Roman" w:hAnsi="Times New Roman" w:cs="Times New Roman"/>
          <w:color w:val="222222"/>
          <w:sz w:val="24"/>
          <w:szCs w:val="24"/>
          <w:lang w:eastAsia="el-GR"/>
        </w:rPr>
      </w:pPr>
      <w:r w:rsidRPr="001A3BF2">
        <w:rPr>
          <w:rFonts w:ascii="Times New Roman" w:eastAsia="Times New Roman" w:hAnsi="Times New Roman" w:cs="Times New Roman"/>
          <w:color w:val="222222"/>
          <w:sz w:val="24"/>
          <w:szCs w:val="24"/>
          <w:lang w:eastAsia="el-GR"/>
        </w:rPr>
        <w:t>Τ</w:t>
      </w:r>
      <w:r w:rsidR="000948E7" w:rsidRPr="001A3BF2">
        <w:rPr>
          <w:rFonts w:ascii="Times New Roman" w:eastAsia="Times New Roman" w:hAnsi="Times New Roman" w:cs="Times New Roman"/>
          <w:color w:val="222222"/>
          <w:sz w:val="24"/>
          <w:szCs w:val="24"/>
          <w:lang w:eastAsia="el-GR"/>
        </w:rPr>
        <w:t xml:space="preserve">ο </w:t>
      </w:r>
      <w:r w:rsidR="001E72BC" w:rsidRPr="001A3BF2">
        <w:rPr>
          <w:rFonts w:ascii="Times New Roman" w:eastAsia="Times New Roman" w:hAnsi="Times New Roman" w:cs="Times New Roman"/>
          <w:color w:val="222222"/>
          <w:sz w:val="24"/>
          <w:szCs w:val="24"/>
          <w:lang w:eastAsia="el-GR"/>
        </w:rPr>
        <w:t>11,3</w:t>
      </w:r>
      <w:r w:rsidR="000948E7" w:rsidRPr="001A3BF2">
        <w:rPr>
          <w:rFonts w:ascii="Times New Roman" w:eastAsia="Times New Roman" w:hAnsi="Times New Roman" w:cs="Times New Roman"/>
          <w:color w:val="222222"/>
          <w:sz w:val="24"/>
          <w:szCs w:val="24"/>
          <w:lang w:eastAsia="el-GR"/>
        </w:rPr>
        <w:t xml:space="preserve">% των επιχειρήσεων προχώρησε σε επενδύσεις </w:t>
      </w:r>
      <w:r w:rsidRPr="001A3BF2">
        <w:rPr>
          <w:rFonts w:ascii="Times New Roman" w:eastAsia="Times New Roman" w:hAnsi="Times New Roman" w:cs="Times New Roman"/>
          <w:color w:val="222222"/>
          <w:sz w:val="24"/>
          <w:szCs w:val="24"/>
          <w:lang w:eastAsia="el-GR"/>
        </w:rPr>
        <w:t xml:space="preserve">το </w:t>
      </w:r>
      <w:r w:rsidR="001A3BF2" w:rsidRPr="001A3BF2">
        <w:rPr>
          <w:rFonts w:ascii="Times New Roman" w:eastAsia="Times New Roman" w:hAnsi="Times New Roman" w:cs="Times New Roman"/>
          <w:color w:val="222222"/>
          <w:sz w:val="24"/>
          <w:szCs w:val="24"/>
          <w:lang w:eastAsia="el-GR"/>
        </w:rPr>
        <w:t>Α</w:t>
      </w:r>
      <w:r w:rsidR="00457CC7">
        <w:rPr>
          <w:rFonts w:ascii="Times New Roman" w:eastAsia="Times New Roman" w:hAnsi="Times New Roman" w:cs="Times New Roman"/>
          <w:color w:val="222222"/>
          <w:sz w:val="24"/>
          <w:szCs w:val="24"/>
          <w:lang w:eastAsia="el-GR"/>
        </w:rPr>
        <w:t xml:space="preserve">’ </w:t>
      </w:r>
      <w:r w:rsidR="001A3BF2" w:rsidRPr="001A3BF2">
        <w:rPr>
          <w:rFonts w:ascii="Times New Roman" w:eastAsia="Times New Roman" w:hAnsi="Times New Roman" w:cs="Times New Roman"/>
          <w:color w:val="222222"/>
          <w:sz w:val="24"/>
          <w:szCs w:val="24"/>
          <w:lang w:eastAsia="el-GR"/>
        </w:rPr>
        <w:t>εξάμηνο του 2021</w:t>
      </w:r>
      <w:r w:rsidRPr="001A3BF2">
        <w:rPr>
          <w:rFonts w:ascii="Times New Roman" w:eastAsia="Times New Roman" w:hAnsi="Times New Roman" w:cs="Times New Roman"/>
          <w:color w:val="222222"/>
          <w:sz w:val="24"/>
          <w:szCs w:val="24"/>
          <w:lang w:eastAsia="el-GR"/>
        </w:rPr>
        <w:t xml:space="preserve">, </w:t>
      </w:r>
      <w:r w:rsidR="000948E7" w:rsidRPr="001A3BF2">
        <w:rPr>
          <w:rFonts w:ascii="Times New Roman" w:eastAsia="Times New Roman" w:hAnsi="Times New Roman" w:cs="Times New Roman"/>
          <w:color w:val="222222"/>
          <w:sz w:val="24"/>
          <w:szCs w:val="24"/>
          <w:lang w:eastAsia="el-GR"/>
        </w:rPr>
        <w:t xml:space="preserve">έναντι </w:t>
      </w:r>
      <w:r w:rsidRPr="001A3BF2">
        <w:rPr>
          <w:rFonts w:ascii="Times New Roman" w:eastAsia="Times New Roman" w:hAnsi="Times New Roman" w:cs="Times New Roman"/>
          <w:color w:val="222222"/>
          <w:sz w:val="24"/>
          <w:szCs w:val="24"/>
          <w:lang w:eastAsia="el-GR"/>
        </w:rPr>
        <w:t xml:space="preserve">του </w:t>
      </w:r>
      <w:r w:rsidR="001A3BF2" w:rsidRPr="001A3BF2">
        <w:rPr>
          <w:rFonts w:ascii="Times New Roman" w:eastAsia="Times New Roman" w:hAnsi="Times New Roman" w:cs="Times New Roman"/>
          <w:color w:val="222222"/>
          <w:sz w:val="24"/>
          <w:szCs w:val="24"/>
          <w:lang w:eastAsia="el-GR"/>
        </w:rPr>
        <w:t>8,7</w:t>
      </w:r>
      <w:r w:rsidR="000948E7" w:rsidRPr="001A3BF2">
        <w:rPr>
          <w:rFonts w:ascii="Times New Roman" w:eastAsia="Times New Roman" w:hAnsi="Times New Roman" w:cs="Times New Roman"/>
          <w:color w:val="222222"/>
          <w:sz w:val="24"/>
          <w:szCs w:val="24"/>
          <w:lang w:eastAsia="el-GR"/>
        </w:rPr>
        <w:t>% του αντίστοιχου περσινού διαστήματος (Γράφημα</w:t>
      </w:r>
      <w:r w:rsidR="003F27D9">
        <w:rPr>
          <w:rFonts w:ascii="Times New Roman" w:eastAsia="Times New Roman" w:hAnsi="Times New Roman" w:cs="Times New Roman"/>
          <w:color w:val="222222"/>
          <w:sz w:val="24"/>
          <w:szCs w:val="24"/>
          <w:lang w:eastAsia="el-GR"/>
        </w:rPr>
        <w:t xml:space="preserve"> 18</w:t>
      </w:r>
      <w:r w:rsidR="000948E7" w:rsidRPr="001A3BF2">
        <w:rPr>
          <w:rFonts w:ascii="Times New Roman" w:eastAsia="Times New Roman" w:hAnsi="Times New Roman" w:cs="Times New Roman"/>
          <w:color w:val="222222"/>
          <w:sz w:val="24"/>
          <w:szCs w:val="24"/>
          <w:lang w:eastAsia="el-GR"/>
        </w:rPr>
        <w:t>)</w:t>
      </w:r>
      <w:r w:rsidR="001A3BF2" w:rsidRPr="001A3BF2">
        <w:rPr>
          <w:rFonts w:ascii="Times New Roman" w:eastAsia="Times New Roman" w:hAnsi="Times New Roman" w:cs="Times New Roman"/>
          <w:color w:val="222222"/>
          <w:sz w:val="24"/>
          <w:szCs w:val="24"/>
          <w:lang w:eastAsia="el-GR"/>
        </w:rPr>
        <w:t>, παραμένοντας ωστόσο σε χαμηλότερα επίπεδα σε σχέση με εκείνα πριν την πανδημία</w:t>
      </w:r>
      <w:r w:rsidR="000948E7" w:rsidRPr="001A3BF2">
        <w:rPr>
          <w:rFonts w:ascii="Times New Roman" w:eastAsia="Times New Roman" w:hAnsi="Times New Roman" w:cs="Times New Roman"/>
          <w:color w:val="222222"/>
          <w:sz w:val="24"/>
          <w:szCs w:val="24"/>
          <w:lang w:eastAsia="el-GR"/>
        </w:rPr>
        <w:t xml:space="preserve">. Οι επιχειρήσεις που δραστηριοποιούνται </w:t>
      </w:r>
      <w:r w:rsidR="001A3BF2" w:rsidRPr="001A3BF2">
        <w:rPr>
          <w:rFonts w:ascii="Times New Roman" w:eastAsia="Times New Roman" w:hAnsi="Times New Roman" w:cs="Times New Roman"/>
          <w:color w:val="222222"/>
          <w:sz w:val="24"/>
          <w:szCs w:val="24"/>
          <w:lang w:eastAsia="el-GR"/>
        </w:rPr>
        <w:t xml:space="preserve">στον τομέα της μεταποίησης </w:t>
      </w:r>
      <w:r w:rsidR="000948E7" w:rsidRPr="001A3BF2">
        <w:rPr>
          <w:rFonts w:ascii="Times New Roman" w:eastAsia="Times New Roman" w:hAnsi="Times New Roman" w:cs="Times New Roman"/>
          <w:color w:val="222222"/>
          <w:sz w:val="24"/>
          <w:szCs w:val="24"/>
          <w:lang w:eastAsia="el-GR"/>
        </w:rPr>
        <w:t>καταγράφουν την καλύτερη επίδοση (</w:t>
      </w:r>
      <w:r w:rsidR="001A3BF2" w:rsidRPr="001A3BF2">
        <w:rPr>
          <w:rFonts w:ascii="Times New Roman" w:eastAsia="Times New Roman" w:hAnsi="Times New Roman" w:cs="Times New Roman"/>
          <w:color w:val="222222"/>
          <w:sz w:val="24"/>
          <w:szCs w:val="24"/>
          <w:lang w:eastAsia="el-GR"/>
        </w:rPr>
        <w:t>13</w:t>
      </w:r>
      <w:r w:rsidR="000948E7" w:rsidRPr="001A3BF2">
        <w:rPr>
          <w:rFonts w:ascii="Times New Roman" w:eastAsia="Times New Roman" w:hAnsi="Times New Roman" w:cs="Times New Roman"/>
          <w:color w:val="222222"/>
          <w:sz w:val="24"/>
          <w:szCs w:val="24"/>
          <w:lang w:eastAsia="el-GR"/>
        </w:rPr>
        <w:t xml:space="preserve">%) </w:t>
      </w:r>
      <w:r w:rsidR="001A3BF2" w:rsidRPr="001A3BF2">
        <w:rPr>
          <w:rFonts w:ascii="Times New Roman" w:eastAsia="Times New Roman" w:hAnsi="Times New Roman" w:cs="Times New Roman"/>
          <w:color w:val="222222"/>
          <w:sz w:val="24"/>
          <w:szCs w:val="24"/>
          <w:lang w:eastAsia="el-GR"/>
        </w:rPr>
        <w:t xml:space="preserve">με τις υπηρεσίες να ακολουθούν (12,7%). Το εμπόριο καταγράφει την χαμηλότερη επίδοση καθώς το 8,9% αυτών προχώρησε σε κάποιου είδους επένδυση. </w:t>
      </w:r>
      <w:r w:rsidR="000948E7" w:rsidRPr="001A3BF2">
        <w:rPr>
          <w:rFonts w:ascii="Times New Roman" w:eastAsia="Times New Roman" w:hAnsi="Times New Roman" w:cs="Times New Roman"/>
          <w:color w:val="222222"/>
          <w:sz w:val="24"/>
          <w:szCs w:val="24"/>
          <w:lang w:eastAsia="el-GR"/>
        </w:rPr>
        <w:t xml:space="preserve"> </w:t>
      </w:r>
      <w:r w:rsidR="00E55E93" w:rsidRPr="001A3BF2">
        <w:rPr>
          <w:rFonts w:ascii="Times New Roman" w:eastAsia="Times New Roman" w:hAnsi="Times New Roman" w:cs="Times New Roman"/>
          <w:color w:val="222222"/>
          <w:sz w:val="24"/>
          <w:szCs w:val="24"/>
          <w:lang w:eastAsia="el-GR"/>
        </w:rPr>
        <w:t>Επιπλέον</w:t>
      </w:r>
      <w:r w:rsidR="00457CC7">
        <w:rPr>
          <w:rFonts w:ascii="Times New Roman" w:eastAsia="Times New Roman" w:hAnsi="Times New Roman" w:cs="Times New Roman"/>
          <w:color w:val="222222"/>
          <w:sz w:val="24"/>
          <w:szCs w:val="24"/>
          <w:lang w:eastAsia="el-GR"/>
        </w:rPr>
        <w:t>,</w:t>
      </w:r>
      <w:r w:rsidR="00E55E93" w:rsidRPr="001A3BF2">
        <w:rPr>
          <w:rFonts w:ascii="Times New Roman" w:eastAsia="Times New Roman" w:hAnsi="Times New Roman" w:cs="Times New Roman"/>
          <w:color w:val="222222"/>
          <w:sz w:val="24"/>
          <w:szCs w:val="24"/>
          <w:lang w:eastAsia="el-GR"/>
        </w:rPr>
        <w:t xml:space="preserve"> τις καλύτερες επιδόσεις</w:t>
      </w:r>
      <w:r w:rsidRPr="001A3BF2">
        <w:rPr>
          <w:rFonts w:ascii="Times New Roman" w:eastAsia="Times New Roman" w:hAnsi="Times New Roman" w:cs="Times New Roman"/>
          <w:color w:val="222222"/>
          <w:sz w:val="24"/>
          <w:szCs w:val="24"/>
          <w:lang w:eastAsia="el-GR"/>
        </w:rPr>
        <w:t>,</w:t>
      </w:r>
      <w:r w:rsidR="00E55E93" w:rsidRPr="001A3BF2">
        <w:rPr>
          <w:rFonts w:ascii="Times New Roman" w:eastAsia="Times New Roman" w:hAnsi="Times New Roman" w:cs="Times New Roman"/>
          <w:color w:val="222222"/>
          <w:sz w:val="24"/>
          <w:szCs w:val="24"/>
          <w:lang w:eastAsia="el-GR"/>
        </w:rPr>
        <w:t xml:space="preserve"> με διαφορά μάλιστα τουλάχιστον 10 ποσοστιαίων μονάδων</w:t>
      </w:r>
      <w:r w:rsidR="00DC1A1E" w:rsidRPr="001A3BF2">
        <w:rPr>
          <w:rFonts w:ascii="Times New Roman" w:eastAsia="Times New Roman" w:hAnsi="Times New Roman" w:cs="Times New Roman"/>
          <w:color w:val="222222"/>
          <w:sz w:val="24"/>
          <w:szCs w:val="24"/>
          <w:lang w:eastAsia="el-GR"/>
        </w:rPr>
        <w:t xml:space="preserve"> από τις υπόλοιπες κατηγορίες</w:t>
      </w:r>
      <w:r w:rsidRPr="001A3BF2">
        <w:rPr>
          <w:rFonts w:ascii="Times New Roman" w:eastAsia="Times New Roman" w:hAnsi="Times New Roman" w:cs="Times New Roman"/>
          <w:color w:val="222222"/>
          <w:sz w:val="24"/>
          <w:szCs w:val="24"/>
          <w:lang w:eastAsia="el-GR"/>
        </w:rPr>
        <w:t>,</w:t>
      </w:r>
      <w:r w:rsidR="00DC1A1E" w:rsidRPr="001A3BF2">
        <w:rPr>
          <w:rFonts w:ascii="Times New Roman" w:eastAsia="Times New Roman" w:hAnsi="Times New Roman" w:cs="Times New Roman"/>
          <w:color w:val="222222"/>
          <w:sz w:val="24"/>
          <w:szCs w:val="24"/>
          <w:lang w:eastAsia="el-GR"/>
        </w:rPr>
        <w:t xml:space="preserve"> καταγράφουν οι επιχειρήσεις με ετήσιο κύκλο εργασιών πάνω από 300.000 € (</w:t>
      </w:r>
      <w:r w:rsidR="001A3BF2" w:rsidRPr="001A3BF2">
        <w:rPr>
          <w:rFonts w:ascii="Times New Roman" w:eastAsia="Times New Roman" w:hAnsi="Times New Roman" w:cs="Times New Roman"/>
          <w:color w:val="222222"/>
          <w:sz w:val="24"/>
          <w:szCs w:val="24"/>
          <w:lang w:eastAsia="el-GR"/>
        </w:rPr>
        <w:t>23</w:t>
      </w:r>
      <w:r w:rsidR="00DC1A1E" w:rsidRPr="001A3BF2">
        <w:rPr>
          <w:rFonts w:ascii="Times New Roman" w:eastAsia="Times New Roman" w:hAnsi="Times New Roman" w:cs="Times New Roman"/>
          <w:color w:val="222222"/>
          <w:sz w:val="24"/>
          <w:szCs w:val="24"/>
          <w:lang w:eastAsia="el-GR"/>
        </w:rPr>
        <w:t>%)</w:t>
      </w:r>
      <w:r w:rsidR="001A3BF2" w:rsidRPr="001A3BF2">
        <w:rPr>
          <w:rFonts w:ascii="Times New Roman" w:eastAsia="Times New Roman" w:hAnsi="Times New Roman" w:cs="Times New Roman"/>
          <w:color w:val="222222"/>
          <w:sz w:val="24"/>
          <w:szCs w:val="24"/>
          <w:lang w:eastAsia="el-GR"/>
        </w:rPr>
        <w:t xml:space="preserve"> και οι επιχειρήσεις με πάνω από 5  εργαζόμενους (20,6%)</w:t>
      </w:r>
      <w:r w:rsidR="00DC1A1E" w:rsidRPr="001A3BF2">
        <w:rPr>
          <w:rFonts w:ascii="Times New Roman" w:eastAsia="Times New Roman" w:hAnsi="Times New Roman" w:cs="Times New Roman"/>
          <w:color w:val="222222"/>
          <w:sz w:val="24"/>
          <w:szCs w:val="24"/>
          <w:lang w:eastAsia="el-GR"/>
        </w:rPr>
        <w:t>.</w:t>
      </w:r>
    </w:p>
    <w:p w14:paraId="642441F1" w14:textId="77777777" w:rsidR="000948E7" w:rsidRPr="00E36734" w:rsidRDefault="000948E7" w:rsidP="000948E7">
      <w:pPr>
        <w:spacing w:after="0" w:line="360" w:lineRule="auto"/>
        <w:rPr>
          <w:rFonts w:ascii="Times New Roman" w:eastAsiaTheme="majorEastAsia" w:hAnsi="Times New Roman" w:cs="Times New Roman"/>
          <w:b/>
          <w:color w:val="000000" w:themeColor="text1"/>
          <w:sz w:val="24"/>
          <w:szCs w:val="24"/>
        </w:rPr>
      </w:pPr>
    </w:p>
    <w:p w14:paraId="70C33F2B" w14:textId="00C26BCA" w:rsidR="000948E7" w:rsidRPr="00E36734" w:rsidRDefault="00A9257F"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lastRenderedPageBreak/>
        <w:t>Γράφημα</w:t>
      </w:r>
      <w:r w:rsidR="003F27D9">
        <w:rPr>
          <w:rFonts w:ascii="Times New Roman" w:hAnsi="Times New Roman" w:cs="Times New Roman"/>
          <w:b/>
          <w:sz w:val="24"/>
          <w:szCs w:val="24"/>
        </w:rPr>
        <w:t xml:space="preserve"> 18</w:t>
      </w:r>
    </w:p>
    <w:p w14:paraId="0D5B4D7C" w14:textId="08C8218F" w:rsidR="000948E7" w:rsidRPr="00E36734" w:rsidRDefault="000948E7"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Επενδύσεις - Αποτίμηση εξαμήνου</w:t>
      </w:r>
    </w:p>
    <w:p w14:paraId="02B84114" w14:textId="77777777" w:rsidR="00A9257F" w:rsidRPr="00E36734" w:rsidRDefault="000948E7"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Σύγκριση με προηγούμενες έρευνες</w:t>
      </w:r>
    </w:p>
    <w:p w14:paraId="71A54420" w14:textId="77777777" w:rsidR="00A9257F" w:rsidRPr="00E36734" w:rsidRDefault="000948E7"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-όσοι έκαναν επενδύσεις-</w:t>
      </w:r>
    </w:p>
    <w:p w14:paraId="6C3371BE" w14:textId="77777777" w:rsidR="00A9257F" w:rsidRPr="00E36734" w:rsidRDefault="00A9257F" w:rsidP="00761263">
      <w:pPr>
        <w:spacing w:line="360" w:lineRule="auto"/>
        <w:jc w:val="both"/>
        <w:rPr>
          <w:rFonts w:ascii="Times New Roman" w:hAnsi="Times New Roman" w:cs="Times New Roman"/>
          <w:sz w:val="24"/>
          <w:szCs w:val="24"/>
        </w:rPr>
      </w:pPr>
      <w:r w:rsidRPr="00E36734">
        <w:rPr>
          <w:rFonts w:ascii="Times New Roman" w:hAnsi="Times New Roman" w:cs="Times New Roman"/>
          <w:noProof/>
          <w:sz w:val="24"/>
          <w:szCs w:val="24"/>
          <w:lang w:val="en-US"/>
        </w:rPr>
        <w:drawing>
          <wp:inline distT="0" distB="0" distL="0" distR="0" wp14:anchorId="492B9D79" wp14:editId="060D909C">
            <wp:extent cx="6644640" cy="2720340"/>
            <wp:effectExtent l="0" t="0" r="3810" b="3810"/>
            <wp:docPr id="1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9F6902" w14:textId="77777777" w:rsidR="00A9257F" w:rsidRPr="00E36734" w:rsidRDefault="00A9257F" w:rsidP="00DC1A1E">
      <w:pPr>
        <w:spacing w:after="0" w:line="360" w:lineRule="auto"/>
        <w:jc w:val="both"/>
        <w:rPr>
          <w:rFonts w:ascii="Times New Roman" w:eastAsia="Times New Roman" w:hAnsi="Times New Roman" w:cs="Times New Roman"/>
          <w:b/>
          <w:sz w:val="24"/>
          <w:szCs w:val="24"/>
          <w:u w:val="single"/>
          <w:lang w:eastAsia="el-GR"/>
        </w:rPr>
      </w:pPr>
    </w:p>
    <w:p w14:paraId="3E29F74E" w14:textId="0BB07C98" w:rsidR="00694711" w:rsidRPr="00E36734" w:rsidRDefault="00694711" w:rsidP="006D0D98">
      <w:pPr>
        <w:spacing w:after="0" w:line="360" w:lineRule="auto"/>
        <w:jc w:val="both"/>
        <w:rPr>
          <w:rFonts w:ascii="Times New Roman" w:eastAsia="Times New Roman" w:hAnsi="Times New Roman" w:cs="Times New Roman"/>
          <w:b/>
          <w:sz w:val="24"/>
          <w:szCs w:val="24"/>
          <w:u w:val="single"/>
          <w:lang w:eastAsia="el-GR"/>
        </w:rPr>
      </w:pPr>
      <w:r w:rsidRPr="00E36734">
        <w:rPr>
          <w:rFonts w:ascii="Times New Roman" w:eastAsia="Times New Roman" w:hAnsi="Times New Roman" w:cs="Times New Roman"/>
          <w:b/>
          <w:sz w:val="24"/>
          <w:szCs w:val="24"/>
          <w:u w:val="single"/>
          <w:lang w:eastAsia="el-GR"/>
        </w:rPr>
        <w:t>Απασχόληση</w:t>
      </w:r>
    </w:p>
    <w:p w14:paraId="1ED54FCC" w14:textId="7AA6D075" w:rsidR="006207BC" w:rsidRDefault="00547F34" w:rsidP="00D908C6">
      <w:pPr>
        <w:spacing w:after="0" w:line="360" w:lineRule="auto"/>
        <w:jc w:val="both"/>
        <w:rPr>
          <w:rFonts w:ascii="Times New Roman" w:eastAsia="Times New Roman" w:hAnsi="Times New Roman" w:cs="Times New Roman"/>
          <w:bCs/>
          <w:sz w:val="24"/>
          <w:szCs w:val="24"/>
          <w:lang w:eastAsia="el-GR"/>
        </w:rPr>
      </w:pPr>
      <w:r w:rsidRPr="0020009D">
        <w:rPr>
          <w:rFonts w:ascii="Times New Roman" w:eastAsia="Times New Roman" w:hAnsi="Times New Roman" w:cs="Times New Roman"/>
          <w:bCs/>
          <w:sz w:val="24"/>
          <w:szCs w:val="24"/>
          <w:lang w:eastAsia="el-GR"/>
        </w:rPr>
        <w:t>Σ</w:t>
      </w:r>
      <w:r w:rsidR="000B2D69" w:rsidRPr="0020009D">
        <w:rPr>
          <w:rFonts w:ascii="Times New Roman" w:eastAsia="Times New Roman" w:hAnsi="Times New Roman" w:cs="Times New Roman"/>
          <w:bCs/>
          <w:sz w:val="24"/>
          <w:szCs w:val="24"/>
          <w:lang w:eastAsia="el-GR"/>
        </w:rPr>
        <w:t xml:space="preserve">την απασχόληση τα στοιχεία είναι καλύτερα σε σχέση με </w:t>
      </w:r>
      <w:r w:rsidR="001A3BF2" w:rsidRPr="0020009D">
        <w:rPr>
          <w:rFonts w:ascii="Times New Roman" w:eastAsia="Times New Roman" w:hAnsi="Times New Roman" w:cs="Times New Roman"/>
          <w:bCs/>
          <w:sz w:val="24"/>
          <w:szCs w:val="24"/>
          <w:lang w:eastAsia="el-GR"/>
        </w:rPr>
        <w:t>τις δυο προηγούμενες έρευνες του ΙΜΕ ΓΣΕΒΕΕ (Φεβρουάριος 2021 και Ιούλιος 2020) που διενεργήθηκαν εν μέσω πανδημίας καθώς</w:t>
      </w:r>
      <w:r w:rsidR="000B2D69" w:rsidRPr="0020009D">
        <w:rPr>
          <w:rFonts w:ascii="Times New Roman" w:eastAsia="Times New Roman" w:hAnsi="Times New Roman" w:cs="Times New Roman"/>
          <w:bCs/>
          <w:sz w:val="24"/>
          <w:szCs w:val="24"/>
          <w:lang w:eastAsia="el-GR"/>
        </w:rPr>
        <w:t xml:space="preserve"> </w:t>
      </w:r>
      <w:r w:rsidR="001A3BF2" w:rsidRPr="0020009D">
        <w:rPr>
          <w:rFonts w:ascii="Times New Roman" w:eastAsia="Times New Roman" w:hAnsi="Times New Roman" w:cs="Times New Roman"/>
          <w:bCs/>
          <w:sz w:val="24"/>
          <w:szCs w:val="24"/>
          <w:lang w:eastAsia="el-GR"/>
        </w:rPr>
        <w:t>το</w:t>
      </w:r>
      <w:r w:rsidR="000B2D69" w:rsidRPr="0020009D">
        <w:rPr>
          <w:rFonts w:ascii="Times New Roman" w:eastAsia="Times New Roman" w:hAnsi="Times New Roman" w:cs="Times New Roman"/>
          <w:bCs/>
          <w:sz w:val="24"/>
          <w:szCs w:val="24"/>
          <w:lang w:eastAsia="el-GR"/>
        </w:rPr>
        <w:t xml:space="preserve"> ισοζύγιο </w:t>
      </w:r>
      <w:r w:rsidR="001A3BF2" w:rsidRPr="0020009D">
        <w:rPr>
          <w:rFonts w:ascii="Times New Roman" w:eastAsia="Times New Roman" w:hAnsi="Times New Roman" w:cs="Times New Roman"/>
          <w:bCs/>
          <w:sz w:val="24"/>
          <w:szCs w:val="24"/>
          <w:lang w:eastAsia="el-GR"/>
        </w:rPr>
        <w:t>των επιχειρήσεων που αύξησαν/μείωσαν το προσωπικό τους επιστρέφει σε</w:t>
      </w:r>
      <w:r w:rsidR="00326412">
        <w:rPr>
          <w:rFonts w:ascii="Times New Roman" w:eastAsia="Times New Roman" w:hAnsi="Times New Roman" w:cs="Times New Roman"/>
          <w:bCs/>
          <w:sz w:val="24"/>
          <w:szCs w:val="24"/>
          <w:lang w:eastAsia="el-GR"/>
        </w:rPr>
        <w:t xml:space="preserve"> επίπεδα προ πανδημίας, δηλαδή σε</w:t>
      </w:r>
      <w:r w:rsidR="001A3BF2" w:rsidRPr="0020009D">
        <w:rPr>
          <w:rFonts w:ascii="Times New Roman" w:eastAsia="Times New Roman" w:hAnsi="Times New Roman" w:cs="Times New Roman"/>
          <w:bCs/>
          <w:sz w:val="24"/>
          <w:szCs w:val="24"/>
          <w:lang w:eastAsia="el-GR"/>
        </w:rPr>
        <w:t xml:space="preserve"> θετικό πρόσημο</w:t>
      </w:r>
      <w:r w:rsidR="000B2D69" w:rsidRPr="0020009D">
        <w:rPr>
          <w:rFonts w:ascii="Times New Roman" w:eastAsia="Times New Roman" w:hAnsi="Times New Roman" w:cs="Times New Roman"/>
          <w:bCs/>
          <w:sz w:val="24"/>
          <w:szCs w:val="24"/>
          <w:lang w:eastAsia="el-GR"/>
        </w:rPr>
        <w:t xml:space="preserve">. </w:t>
      </w:r>
      <w:r w:rsidR="001A3BF2" w:rsidRPr="0020009D">
        <w:rPr>
          <w:rFonts w:ascii="Times New Roman" w:eastAsia="Times New Roman" w:hAnsi="Times New Roman" w:cs="Times New Roman"/>
          <w:bCs/>
          <w:sz w:val="24"/>
          <w:szCs w:val="24"/>
          <w:lang w:eastAsia="el-GR"/>
        </w:rPr>
        <w:t>Συγκεκριμένα</w:t>
      </w:r>
      <w:r w:rsidR="00326412">
        <w:rPr>
          <w:rFonts w:ascii="Times New Roman" w:eastAsia="Times New Roman" w:hAnsi="Times New Roman" w:cs="Times New Roman"/>
          <w:bCs/>
          <w:sz w:val="24"/>
          <w:szCs w:val="24"/>
          <w:lang w:eastAsia="el-GR"/>
        </w:rPr>
        <w:t>,</w:t>
      </w:r>
      <w:r w:rsidR="001A3BF2" w:rsidRPr="0020009D">
        <w:rPr>
          <w:rFonts w:ascii="Times New Roman" w:eastAsia="Times New Roman" w:hAnsi="Times New Roman" w:cs="Times New Roman"/>
          <w:bCs/>
          <w:sz w:val="24"/>
          <w:szCs w:val="24"/>
          <w:lang w:eastAsia="el-GR"/>
        </w:rPr>
        <w:t xml:space="preserve"> το 7,9% των επιχειρήσεων </w:t>
      </w:r>
      <w:r w:rsidR="0020009D" w:rsidRPr="0020009D">
        <w:rPr>
          <w:rFonts w:ascii="Times New Roman" w:eastAsia="Times New Roman" w:hAnsi="Times New Roman" w:cs="Times New Roman"/>
          <w:bCs/>
          <w:sz w:val="24"/>
          <w:szCs w:val="24"/>
          <w:lang w:eastAsia="el-GR"/>
        </w:rPr>
        <w:t>αύξησαν</w:t>
      </w:r>
      <w:r w:rsidR="001A3BF2" w:rsidRPr="0020009D">
        <w:rPr>
          <w:rFonts w:ascii="Times New Roman" w:eastAsia="Times New Roman" w:hAnsi="Times New Roman" w:cs="Times New Roman"/>
          <w:bCs/>
          <w:sz w:val="24"/>
          <w:szCs w:val="24"/>
          <w:lang w:eastAsia="el-GR"/>
        </w:rPr>
        <w:t xml:space="preserve"> το προσωπικό τους </w:t>
      </w:r>
      <w:r w:rsidR="0020009D" w:rsidRPr="0020009D">
        <w:rPr>
          <w:rFonts w:ascii="Times New Roman" w:eastAsia="Times New Roman" w:hAnsi="Times New Roman" w:cs="Times New Roman"/>
          <w:bCs/>
          <w:sz w:val="24"/>
          <w:szCs w:val="24"/>
          <w:lang w:eastAsia="el-GR"/>
        </w:rPr>
        <w:t>έναντι</w:t>
      </w:r>
      <w:r w:rsidR="001A3BF2" w:rsidRPr="0020009D">
        <w:rPr>
          <w:rFonts w:ascii="Times New Roman" w:eastAsia="Times New Roman" w:hAnsi="Times New Roman" w:cs="Times New Roman"/>
          <w:bCs/>
          <w:sz w:val="24"/>
          <w:szCs w:val="24"/>
          <w:lang w:eastAsia="el-GR"/>
        </w:rPr>
        <w:t xml:space="preserve"> του 5,6% που το μείωσε και του 86,6% που το διατ</w:t>
      </w:r>
      <w:r w:rsidR="0020009D" w:rsidRPr="0020009D">
        <w:rPr>
          <w:rFonts w:ascii="Times New Roman" w:eastAsia="Times New Roman" w:hAnsi="Times New Roman" w:cs="Times New Roman"/>
          <w:bCs/>
          <w:sz w:val="24"/>
          <w:szCs w:val="24"/>
          <w:lang w:eastAsia="el-GR"/>
        </w:rPr>
        <w:t>ήρησε.</w:t>
      </w:r>
      <w:r w:rsidR="000B2D69" w:rsidRPr="0020009D">
        <w:rPr>
          <w:rFonts w:ascii="Times New Roman" w:eastAsia="Times New Roman" w:hAnsi="Times New Roman" w:cs="Times New Roman"/>
          <w:bCs/>
          <w:sz w:val="24"/>
          <w:szCs w:val="24"/>
          <w:lang w:eastAsia="el-GR"/>
        </w:rPr>
        <w:t xml:space="preserve"> Από τα επιμέρους στοιχεία</w:t>
      </w:r>
      <w:r w:rsidR="00457CC7">
        <w:rPr>
          <w:rFonts w:ascii="Times New Roman" w:eastAsia="Times New Roman" w:hAnsi="Times New Roman" w:cs="Times New Roman"/>
          <w:bCs/>
          <w:sz w:val="24"/>
          <w:szCs w:val="24"/>
          <w:lang w:eastAsia="el-GR"/>
        </w:rPr>
        <w:t>,</w:t>
      </w:r>
      <w:r w:rsidR="000B2D69" w:rsidRPr="0020009D">
        <w:rPr>
          <w:rFonts w:ascii="Times New Roman" w:eastAsia="Times New Roman" w:hAnsi="Times New Roman" w:cs="Times New Roman"/>
          <w:bCs/>
          <w:sz w:val="24"/>
          <w:szCs w:val="24"/>
          <w:lang w:eastAsia="el-GR"/>
        </w:rPr>
        <w:t xml:space="preserve"> </w:t>
      </w:r>
      <w:r w:rsidR="0020009D" w:rsidRPr="0020009D">
        <w:rPr>
          <w:rFonts w:ascii="Times New Roman" w:eastAsia="Times New Roman" w:hAnsi="Times New Roman" w:cs="Times New Roman"/>
          <w:bCs/>
          <w:sz w:val="24"/>
          <w:szCs w:val="24"/>
          <w:lang w:eastAsia="el-GR"/>
        </w:rPr>
        <w:t>τόσο οι εμπορικές επιχειρήσεις</w:t>
      </w:r>
      <w:r w:rsidR="000B2D69" w:rsidRPr="0020009D">
        <w:rPr>
          <w:rFonts w:ascii="Times New Roman" w:eastAsia="Times New Roman" w:hAnsi="Times New Roman" w:cs="Times New Roman"/>
          <w:bCs/>
          <w:sz w:val="24"/>
          <w:szCs w:val="24"/>
          <w:lang w:eastAsia="el-GR"/>
        </w:rPr>
        <w:t xml:space="preserve"> παρουσιάζει θετικό ισοζύγιο</w:t>
      </w:r>
      <w:r w:rsidR="00F27C0E" w:rsidRPr="0020009D">
        <w:rPr>
          <w:rFonts w:ascii="Times New Roman" w:eastAsia="Times New Roman" w:hAnsi="Times New Roman" w:cs="Times New Roman"/>
          <w:bCs/>
          <w:sz w:val="24"/>
          <w:szCs w:val="24"/>
          <w:lang w:eastAsia="el-GR"/>
        </w:rPr>
        <w:t xml:space="preserve"> (8,1% αύξηση – 5,4% μείωση), έναντι του τομέα των υπηρεσιών (4,8% αύξηση -  11,2% μείωση) και της μεταποίησης (5,6% αύξηση – 10,8% μείωση)</w:t>
      </w:r>
      <w:r w:rsidR="00982B33" w:rsidRPr="0020009D">
        <w:rPr>
          <w:rFonts w:ascii="Times New Roman" w:eastAsia="Times New Roman" w:hAnsi="Times New Roman" w:cs="Times New Roman"/>
          <w:bCs/>
          <w:sz w:val="24"/>
          <w:szCs w:val="24"/>
          <w:lang w:eastAsia="el-GR"/>
        </w:rPr>
        <w:t xml:space="preserve"> </w:t>
      </w:r>
      <w:r w:rsidR="0020009D" w:rsidRPr="0020009D">
        <w:rPr>
          <w:rFonts w:ascii="Times New Roman" w:eastAsia="Times New Roman" w:hAnsi="Times New Roman" w:cs="Times New Roman"/>
          <w:bCs/>
          <w:sz w:val="24"/>
          <w:szCs w:val="24"/>
          <w:lang w:eastAsia="el-GR"/>
        </w:rPr>
        <w:t xml:space="preserve">παρουσιάζουν θετικό ισοζύγιο (Γράφημα </w:t>
      </w:r>
      <w:r w:rsidR="00326412">
        <w:rPr>
          <w:rFonts w:ascii="Times New Roman" w:eastAsia="Times New Roman" w:hAnsi="Times New Roman" w:cs="Times New Roman"/>
          <w:bCs/>
          <w:sz w:val="24"/>
          <w:szCs w:val="24"/>
          <w:lang w:eastAsia="el-GR"/>
        </w:rPr>
        <w:t>19</w:t>
      </w:r>
      <w:r w:rsidR="00D908C6" w:rsidRPr="0020009D">
        <w:rPr>
          <w:rFonts w:ascii="Times New Roman" w:eastAsia="Times New Roman" w:hAnsi="Times New Roman" w:cs="Times New Roman"/>
          <w:bCs/>
          <w:sz w:val="24"/>
          <w:szCs w:val="24"/>
          <w:lang w:eastAsia="el-GR"/>
        </w:rPr>
        <w:t>)</w:t>
      </w:r>
      <w:r w:rsidR="00F27C0E" w:rsidRPr="0020009D">
        <w:rPr>
          <w:rFonts w:ascii="Times New Roman" w:eastAsia="Times New Roman" w:hAnsi="Times New Roman" w:cs="Times New Roman"/>
          <w:bCs/>
          <w:sz w:val="24"/>
          <w:szCs w:val="24"/>
          <w:lang w:eastAsia="el-GR"/>
        </w:rPr>
        <w:t xml:space="preserve">. </w:t>
      </w:r>
      <w:r w:rsidR="001C560E">
        <w:rPr>
          <w:rFonts w:ascii="Times New Roman" w:eastAsia="Times New Roman" w:hAnsi="Times New Roman" w:cs="Times New Roman"/>
          <w:bCs/>
          <w:sz w:val="24"/>
          <w:szCs w:val="24"/>
          <w:lang w:eastAsia="el-GR"/>
        </w:rPr>
        <w:t xml:space="preserve">Όσον αφορά τις επιχειρήσεις που ανέστειλαν τη λειτουργία τους με κρατική εντολή το ισοζύγιο προσλήψεων/αποχωρήσεων είναι επίσης θετικό. Ειδικότερα, το 6,5% των επιχειρήσεων αυτών αύξησε το προσωπικό του το προηγούμενο διάστημα, έναντι του 5,4% που το μείωσε. Ανάλογα είναι και τα ευρήματα για </w:t>
      </w:r>
      <w:r w:rsidR="00791344" w:rsidRPr="00791344">
        <w:rPr>
          <w:rFonts w:ascii="Times New Roman" w:eastAsia="Times New Roman" w:hAnsi="Times New Roman" w:cs="Times New Roman"/>
          <w:bCs/>
          <w:sz w:val="24"/>
          <w:szCs w:val="24"/>
          <w:lang w:eastAsia="el-GR"/>
        </w:rPr>
        <w:t>τις επιχειρήσεις εστίασης</w:t>
      </w:r>
      <w:r w:rsidR="001C560E">
        <w:rPr>
          <w:rFonts w:ascii="Times New Roman" w:eastAsia="Times New Roman" w:hAnsi="Times New Roman" w:cs="Times New Roman"/>
          <w:bCs/>
          <w:sz w:val="24"/>
          <w:szCs w:val="24"/>
          <w:lang w:eastAsia="el-GR"/>
        </w:rPr>
        <w:t xml:space="preserve"> όπου</w:t>
      </w:r>
      <w:r w:rsidR="00791344" w:rsidRPr="00791344">
        <w:rPr>
          <w:rFonts w:ascii="Times New Roman" w:eastAsia="Times New Roman" w:hAnsi="Times New Roman" w:cs="Times New Roman"/>
          <w:bCs/>
          <w:sz w:val="24"/>
          <w:szCs w:val="24"/>
          <w:lang w:eastAsia="el-GR"/>
        </w:rPr>
        <w:t xml:space="preserve"> το 9,1% αύξησε το προσωπικό του έναντι του 8,2% που το μείωσε.</w:t>
      </w:r>
      <w:r w:rsidR="00791344">
        <w:rPr>
          <w:rFonts w:ascii="Times New Roman" w:eastAsia="Times New Roman" w:hAnsi="Times New Roman" w:cs="Times New Roman"/>
          <w:bCs/>
          <w:sz w:val="24"/>
          <w:szCs w:val="24"/>
          <w:lang w:eastAsia="el-GR"/>
        </w:rPr>
        <w:t xml:space="preserve"> </w:t>
      </w:r>
      <w:r w:rsidR="00D908C6" w:rsidRPr="00EA44D4">
        <w:rPr>
          <w:rFonts w:ascii="Times New Roman" w:eastAsia="Times New Roman" w:hAnsi="Times New Roman" w:cs="Times New Roman"/>
          <w:bCs/>
          <w:sz w:val="24"/>
          <w:szCs w:val="24"/>
          <w:lang w:eastAsia="el-GR"/>
        </w:rPr>
        <w:t>Τα ευρήματα αυτά συμβαδίζουν με εκείνα της ΕΛΣΤΑΤ</w:t>
      </w:r>
      <w:r w:rsidRPr="00EA44D4">
        <w:rPr>
          <w:rStyle w:val="ae"/>
          <w:rFonts w:ascii="Times New Roman" w:eastAsia="Times New Roman" w:hAnsi="Times New Roman" w:cs="Times New Roman"/>
          <w:bCs/>
          <w:sz w:val="24"/>
          <w:szCs w:val="24"/>
          <w:lang w:eastAsia="el-GR"/>
        </w:rPr>
        <w:footnoteReference w:id="7"/>
      </w:r>
      <w:r w:rsidR="00D908C6" w:rsidRPr="00EA44D4">
        <w:rPr>
          <w:rFonts w:ascii="Times New Roman" w:eastAsia="Times New Roman" w:hAnsi="Times New Roman" w:cs="Times New Roman"/>
          <w:bCs/>
          <w:sz w:val="24"/>
          <w:szCs w:val="24"/>
          <w:lang w:eastAsia="el-GR"/>
        </w:rPr>
        <w:t xml:space="preserve"> όπου</w:t>
      </w:r>
      <w:r w:rsidR="006207BC" w:rsidRPr="00EA44D4">
        <w:rPr>
          <w:rFonts w:ascii="Times New Roman" w:eastAsia="Times New Roman" w:hAnsi="Times New Roman" w:cs="Times New Roman"/>
          <w:bCs/>
          <w:sz w:val="24"/>
          <w:szCs w:val="24"/>
          <w:lang w:eastAsia="el-GR"/>
        </w:rPr>
        <w:t xml:space="preserve"> καταγράφεται αποκλιμάκωση της ανεργίας</w:t>
      </w:r>
      <w:r w:rsidR="00EA56EC" w:rsidRPr="00EA44D4">
        <w:rPr>
          <w:rFonts w:ascii="Times New Roman" w:eastAsia="Times New Roman" w:hAnsi="Times New Roman" w:cs="Times New Roman"/>
          <w:bCs/>
          <w:sz w:val="24"/>
          <w:szCs w:val="24"/>
          <w:lang w:eastAsia="el-GR"/>
        </w:rPr>
        <w:t xml:space="preserve"> (15%)</w:t>
      </w:r>
      <w:r w:rsidR="006207BC" w:rsidRPr="00EA44D4">
        <w:rPr>
          <w:rFonts w:ascii="Times New Roman" w:eastAsia="Times New Roman" w:hAnsi="Times New Roman" w:cs="Times New Roman"/>
          <w:bCs/>
          <w:sz w:val="24"/>
          <w:szCs w:val="24"/>
          <w:lang w:eastAsia="el-GR"/>
        </w:rPr>
        <w:t xml:space="preserve"> που </w:t>
      </w:r>
      <w:r w:rsidR="00EA56EC" w:rsidRPr="00EA44D4">
        <w:rPr>
          <w:rFonts w:ascii="Times New Roman" w:eastAsia="Times New Roman" w:hAnsi="Times New Roman" w:cs="Times New Roman"/>
          <w:bCs/>
          <w:sz w:val="24"/>
          <w:szCs w:val="24"/>
          <w:lang w:eastAsia="el-GR"/>
        </w:rPr>
        <w:t>ωστόσο</w:t>
      </w:r>
      <w:r w:rsidR="006207BC" w:rsidRPr="00EA44D4">
        <w:rPr>
          <w:rFonts w:ascii="Times New Roman" w:eastAsia="Times New Roman" w:hAnsi="Times New Roman" w:cs="Times New Roman"/>
          <w:bCs/>
          <w:sz w:val="24"/>
          <w:szCs w:val="24"/>
          <w:lang w:eastAsia="el-GR"/>
        </w:rPr>
        <w:t xml:space="preserve"> παραμένει ακόμα σε πολύ υψηλά επίπεδα</w:t>
      </w:r>
      <w:r w:rsidR="00EA44D4" w:rsidRPr="00EA44D4">
        <w:rPr>
          <w:rFonts w:ascii="Times New Roman" w:eastAsia="Times New Roman" w:hAnsi="Times New Roman" w:cs="Times New Roman"/>
          <w:bCs/>
          <w:sz w:val="24"/>
          <w:szCs w:val="24"/>
          <w:lang w:eastAsia="el-GR"/>
        </w:rPr>
        <w:t>, κάτι που συνεχίζει να αποτελεί σημαντικό εμπόδιο για την βελτίωση της αγοράς εργασίας</w:t>
      </w:r>
      <w:r w:rsidR="006207BC" w:rsidRPr="00EA44D4">
        <w:rPr>
          <w:rFonts w:ascii="Times New Roman" w:eastAsia="Times New Roman" w:hAnsi="Times New Roman" w:cs="Times New Roman"/>
          <w:bCs/>
          <w:sz w:val="24"/>
          <w:szCs w:val="24"/>
          <w:lang w:eastAsia="el-GR"/>
        </w:rPr>
        <w:t xml:space="preserve">. </w:t>
      </w:r>
      <w:r w:rsidR="00EA44D4">
        <w:rPr>
          <w:rFonts w:ascii="Times New Roman" w:eastAsia="Times New Roman" w:hAnsi="Times New Roman" w:cs="Times New Roman"/>
          <w:bCs/>
          <w:sz w:val="24"/>
          <w:szCs w:val="24"/>
          <w:lang w:eastAsia="el-GR"/>
        </w:rPr>
        <w:t xml:space="preserve"> </w:t>
      </w:r>
    </w:p>
    <w:p w14:paraId="0D59CDAD" w14:textId="3B447FDE" w:rsidR="00D908C6" w:rsidRPr="00E36734" w:rsidRDefault="00EA44D4" w:rsidP="000B2D69">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lastRenderedPageBreak/>
        <w:t>Είναι προφανές πως τα μέτρα που ελήφθησαν για τη διατήρηση της απασχόλησης σε συνδυασμό με το σταδιακό άνοιγμα της οικονομίας και τ</w:t>
      </w:r>
      <w:r w:rsidR="00791344">
        <w:rPr>
          <w:rFonts w:ascii="Times New Roman" w:eastAsia="Times New Roman" w:hAnsi="Times New Roman" w:cs="Times New Roman"/>
          <w:bCs/>
          <w:sz w:val="24"/>
          <w:szCs w:val="24"/>
          <w:lang w:eastAsia="el-GR"/>
        </w:rPr>
        <w:t>ις</w:t>
      </w:r>
      <w:r>
        <w:rPr>
          <w:rFonts w:ascii="Times New Roman" w:eastAsia="Times New Roman" w:hAnsi="Times New Roman" w:cs="Times New Roman"/>
          <w:bCs/>
          <w:sz w:val="24"/>
          <w:szCs w:val="24"/>
          <w:lang w:eastAsia="el-GR"/>
        </w:rPr>
        <w:t xml:space="preserve"> σημαντικά καλύτερες</w:t>
      </w:r>
      <w:r w:rsidR="001C560E">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σε σχέση με το 2020</w:t>
      </w:r>
      <w:r w:rsidR="001C560E">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επιδόσεις του τουρισμού έχουν  </w:t>
      </w:r>
      <w:r w:rsidR="00791344">
        <w:rPr>
          <w:rFonts w:ascii="Times New Roman" w:eastAsia="Times New Roman" w:hAnsi="Times New Roman" w:cs="Times New Roman"/>
          <w:bCs/>
          <w:sz w:val="24"/>
          <w:szCs w:val="24"/>
          <w:lang w:eastAsia="el-GR"/>
        </w:rPr>
        <w:t>αφήσει θετικό αποτύπωμα σ</w:t>
      </w:r>
      <w:r>
        <w:rPr>
          <w:rFonts w:ascii="Times New Roman" w:eastAsia="Times New Roman" w:hAnsi="Times New Roman" w:cs="Times New Roman"/>
          <w:bCs/>
          <w:sz w:val="24"/>
          <w:szCs w:val="24"/>
          <w:lang w:eastAsia="el-GR"/>
        </w:rPr>
        <w:t xml:space="preserve">την αγορά εργασίας. </w:t>
      </w:r>
      <w:r w:rsidR="00791344">
        <w:rPr>
          <w:rFonts w:ascii="Times New Roman" w:eastAsia="Times New Roman" w:hAnsi="Times New Roman" w:cs="Times New Roman"/>
          <w:bCs/>
          <w:sz w:val="24"/>
          <w:szCs w:val="24"/>
          <w:lang w:eastAsia="el-GR"/>
        </w:rPr>
        <w:t xml:space="preserve">Αυτό, άλλωστε, είχε διαφανεί και από την προηγούμενη έρευνα του ΙΜΕ ΓΣΕΒΕΕ (Φεβρουάριος 2021) </w:t>
      </w:r>
      <w:r w:rsidR="00791344" w:rsidRPr="00791344">
        <w:rPr>
          <w:rFonts w:ascii="Times New Roman" w:eastAsia="Times New Roman" w:hAnsi="Times New Roman" w:cs="Times New Roman"/>
          <w:bCs/>
          <w:sz w:val="24"/>
          <w:szCs w:val="24"/>
          <w:lang w:eastAsia="el-GR"/>
        </w:rPr>
        <w:t xml:space="preserve">όπου η </w:t>
      </w:r>
      <w:r w:rsidR="0040254E" w:rsidRPr="00791344">
        <w:rPr>
          <w:rFonts w:ascii="Times New Roman" w:eastAsia="Times New Roman" w:hAnsi="Times New Roman" w:cs="Times New Roman"/>
          <w:bCs/>
          <w:sz w:val="24"/>
          <w:szCs w:val="24"/>
          <w:lang w:eastAsia="el-GR"/>
        </w:rPr>
        <w:t xml:space="preserve"> </w:t>
      </w:r>
      <w:r w:rsidR="00E61F2C" w:rsidRPr="00791344">
        <w:rPr>
          <w:rFonts w:ascii="Times New Roman" w:eastAsia="Times New Roman" w:hAnsi="Times New Roman" w:cs="Times New Roman"/>
          <w:bCs/>
          <w:sz w:val="24"/>
          <w:szCs w:val="24"/>
          <w:lang w:eastAsia="el-GR"/>
        </w:rPr>
        <w:t xml:space="preserve">ευρεία </w:t>
      </w:r>
      <w:r w:rsidR="0040254E" w:rsidRPr="00791344">
        <w:rPr>
          <w:rFonts w:ascii="Times New Roman" w:eastAsia="Times New Roman" w:hAnsi="Times New Roman" w:cs="Times New Roman"/>
          <w:bCs/>
          <w:sz w:val="24"/>
          <w:szCs w:val="24"/>
          <w:lang w:eastAsia="el-GR"/>
        </w:rPr>
        <w:t>αξιοποίηση</w:t>
      </w:r>
      <w:r w:rsidR="00E61F2C" w:rsidRPr="00791344">
        <w:rPr>
          <w:rFonts w:ascii="Times New Roman" w:eastAsia="Times New Roman" w:hAnsi="Times New Roman" w:cs="Times New Roman"/>
          <w:bCs/>
          <w:sz w:val="24"/>
          <w:szCs w:val="24"/>
          <w:lang w:eastAsia="el-GR"/>
        </w:rPr>
        <w:t xml:space="preserve"> </w:t>
      </w:r>
      <w:r w:rsidR="00791344" w:rsidRPr="00791344">
        <w:rPr>
          <w:rFonts w:ascii="Times New Roman" w:eastAsia="Times New Roman" w:hAnsi="Times New Roman" w:cs="Times New Roman"/>
          <w:bCs/>
          <w:sz w:val="24"/>
          <w:szCs w:val="24"/>
          <w:lang w:eastAsia="el-GR"/>
        </w:rPr>
        <w:t xml:space="preserve">από τις επιχειρήσεις </w:t>
      </w:r>
      <w:r w:rsidR="00E61F2C" w:rsidRPr="00791344">
        <w:rPr>
          <w:rFonts w:ascii="Times New Roman" w:eastAsia="Times New Roman" w:hAnsi="Times New Roman" w:cs="Times New Roman"/>
          <w:bCs/>
          <w:sz w:val="24"/>
          <w:szCs w:val="24"/>
          <w:lang w:eastAsia="el-GR"/>
        </w:rPr>
        <w:t>των μέτρων που έλαβε η κυβέρνηση για την συγκράτηση της απασχόλησης</w:t>
      </w:r>
      <w:r w:rsidR="0040254E" w:rsidRPr="00791344">
        <w:rPr>
          <w:rFonts w:ascii="Times New Roman" w:eastAsia="Times New Roman" w:hAnsi="Times New Roman" w:cs="Times New Roman"/>
          <w:bCs/>
          <w:sz w:val="24"/>
          <w:szCs w:val="24"/>
          <w:lang w:eastAsia="el-GR"/>
        </w:rPr>
        <w:t xml:space="preserve"> </w:t>
      </w:r>
      <w:r w:rsidR="00791344" w:rsidRPr="00791344">
        <w:rPr>
          <w:rFonts w:ascii="Times New Roman" w:eastAsia="Times New Roman" w:hAnsi="Times New Roman" w:cs="Times New Roman"/>
          <w:bCs/>
          <w:sz w:val="24"/>
          <w:szCs w:val="24"/>
          <w:lang w:eastAsia="el-GR"/>
        </w:rPr>
        <w:t xml:space="preserve">καταδείκνυε </w:t>
      </w:r>
      <w:r w:rsidR="0040254E" w:rsidRPr="00791344">
        <w:rPr>
          <w:rFonts w:ascii="Times New Roman" w:eastAsia="Times New Roman" w:hAnsi="Times New Roman" w:cs="Times New Roman"/>
          <w:bCs/>
          <w:sz w:val="24"/>
          <w:szCs w:val="24"/>
          <w:lang w:eastAsia="el-GR"/>
        </w:rPr>
        <w:t xml:space="preserve">ότι τα μέτρα αυτά </w:t>
      </w:r>
      <w:r w:rsidR="00791344" w:rsidRPr="00791344">
        <w:rPr>
          <w:rFonts w:ascii="Times New Roman" w:eastAsia="Times New Roman" w:hAnsi="Times New Roman" w:cs="Times New Roman"/>
          <w:bCs/>
          <w:sz w:val="24"/>
          <w:szCs w:val="24"/>
          <w:lang w:eastAsia="el-GR"/>
        </w:rPr>
        <w:t>είχαν</w:t>
      </w:r>
      <w:r w:rsidR="0040254E" w:rsidRPr="00791344">
        <w:rPr>
          <w:rFonts w:ascii="Times New Roman" w:eastAsia="Times New Roman" w:hAnsi="Times New Roman" w:cs="Times New Roman"/>
          <w:bCs/>
          <w:sz w:val="24"/>
          <w:szCs w:val="24"/>
          <w:lang w:eastAsia="el-GR"/>
        </w:rPr>
        <w:t xml:space="preserve"> πετύχει τον βασικό τους σκοπό</w:t>
      </w:r>
      <w:r w:rsidR="00791344" w:rsidRPr="00791344">
        <w:rPr>
          <w:rFonts w:ascii="Times New Roman" w:eastAsia="Times New Roman" w:hAnsi="Times New Roman" w:cs="Times New Roman"/>
          <w:bCs/>
          <w:sz w:val="24"/>
          <w:szCs w:val="24"/>
          <w:lang w:eastAsia="el-GR"/>
        </w:rPr>
        <w:t>.</w:t>
      </w:r>
    </w:p>
    <w:p w14:paraId="7645ED3B" w14:textId="59AFEB50" w:rsidR="00F27C0E" w:rsidRPr="003F27D9" w:rsidRDefault="00982B33" w:rsidP="006D0D98">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Γράφημα 1</w:t>
      </w:r>
      <w:r w:rsidR="003F27D9">
        <w:rPr>
          <w:rFonts w:ascii="Times New Roman" w:eastAsia="Times New Roman" w:hAnsi="Times New Roman" w:cs="Times New Roman"/>
          <w:b/>
          <w:sz w:val="24"/>
          <w:szCs w:val="24"/>
          <w:lang w:eastAsia="el-GR"/>
        </w:rPr>
        <w:t>9</w:t>
      </w:r>
    </w:p>
    <w:p w14:paraId="0E9DECBC" w14:textId="43389CC9" w:rsidR="00F27C0E" w:rsidRPr="00045567" w:rsidRDefault="00F27C0E" w:rsidP="00045567">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ΑΠΑΣΧΟΛΗΣΗ </w:t>
      </w:r>
      <w:r w:rsidRPr="00E36734">
        <w:rPr>
          <w:rFonts w:ascii="Times New Roman" w:eastAsia="Times New Roman" w:hAnsi="Times New Roman" w:cs="Times New Roman"/>
          <w:b/>
          <w:sz w:val="24"/>
          <w:szCs w:val="24"/>
          <w:lang w:eastAsia="el-GR"/>
        </w:rPr>
        <w:br/>
        <w:t xml:space="preserve"> - Ανά κατηγορία -</w:t>
      </w:r>
    </w:p>
    <w:p w14:paraId="57EB66F4" w14:textId="5C35B562" w:rsidR="00821B05" w:rsidRDefault="00DC008D" w:rsidP="00821B05">
      <w:pPr>
        <w:spacing w:after="0" w:line="360" w:lineRule="auto"/>
        <w:jc w:val="both"/>
        <w:rPr>
          <w:rFonts w:ascii="Times New Roman" w:eastAsia="Times New Roman" w:hAnsi="Times New Roman" w:cs="Times New Roman"/>
          <w:b/>
          <w:sz w:val="24"/>
          <w:szCs w:val="24"/>
          <w:u w:val="single"/>
          <w:lang w:eastAsia="el-GR"/>
        </w:rPr>
      </w:pPr>
      <w:r w:rsidRPr="00DC008D">
        <w:rPr>
          <w:rFonts w:ascii="Times New Roman" w:eastAsia="Times New Roman" w:hAnsi="Times New Roman" w:cs="Times New Roman"/>
          <w:b/>
          <w:noProof/>
          <w:sz w:val="24"/>
          <w:szCs w:val="24"/>
          <w:u w:val="single"/>
          <w:lang w:val="en-US"/>
        </w:rPr>
        <w:drawing>
          <wp:inline distT="0" distB="0" distL="0" distR="0" wp14:anchorId="3B5CCA9D" wp14:editId="0B718E66">
            <wp:extent cx="6570980" cy="4130040"/>
            <wp:effectExtent l="0" t="0" r="1270" b="3810"/>
            <wp:docPr id="45" name="Γράφημα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FEF100" w14:textId="77777777" w:rsidR="00326135" w:rsidRDefault="00326135" w:rsidP="00821B05">
      <w:pPr>
        <w:spacing w:after="0" w:line="360" w:lineRule="auto"/>
        <w:jc w:val="both"/>
        <w:rPr>
          <w:rFonts w:ascii="Times New Roman" w:eastAsia="Times New Roman" w:hAnsi="Times New Roman" w:cs="Times New Roman"/>
          <w:b/>
          <w:sz w:val="24"/>
          <w:szCs w:val="24"/>
          <w:u w:val="single"/>
          <w:lang w:eastAsia="el-GR"/>
        </w:rPr>
      </w:pPr>
    </w:p>
    <w:p w14:paraId="26E78EE6" w14:textId="6C981901" w:rsidR="006207BC" w:rsidRPr="00DF32C4" w:rsidRDefault="00791344" w:rsidP="00821B05">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Ωστόσο, τα ζητήματα της έντονης κινητικότητας και ελαστικότητας που οφείλονται κατά κύριο λόγο στην εποχικότητα </w:t>
      </w:r>
      <w:r w:rsidR="00DC2BC0">
        <w:rPr>
          <w:rFonts w:ascii="Times New Roman" w:eastAsia="Times New Roman" w:hAnsi="Times New Roman" w:cs="Times New Roman"/>
          <w:bCs/>
          <w:sz w:val="24"/>
          <w:szCs w:val="24"/>
          <w:lang w:eastAsia="el-GR"/>
        </w:rPr>
        <w:t xml:space="preserve">της επιχειρηματικής δραστηριότητας </w:t>
      </w:r>
      <w:r>
        <w:rPr>
          <w:rFonts w:ascii="Times New Roman" w:eastAsia="Times New Roman" w:hAnsi="Times New Roman" w:cs="Times New Roman"/>
          <w:bCs/>
          <w:sz w:val="24"/>
          <w:szCs w:val="24"/>
          <w:lang w:eastAsia="el-GR"/>
        </w:rPr>
        <w:t xml:space="preserve">και </w:t>
      </w:r>
      <w:r w:rsidR="00DC2BC0">
        <w:rPr>
          <w:rFonts w:ascii="Times New Roman" w:eastAsia="Times New Roman" w:hAnsi="Times New Roman" w:cs="Times New Roman"/>
          <w:bCs/>
          <w:sz w:val="24"/>
          <w:szCs w:val="24"/>
          <w:lang w:eastAsia="el-GR"/>
        </w:rPr>
        <w:t>χαρακτηρίζει</w:t>
      </w:r>
      <w:r>
        <w:rPr>
          <w:rFonts w:ascii="Times New Roman" w:eastAsia="Times New Roman" w:hAnsi="Times New Roman" w:cs="Times New Roman"/>
          <w:bCs/>
          <w:sz w:val="24"/>
          <w:szCs w:val="24"/>
          <w:lang w:eastAsia="el-GR"/>
        </w:rPr>
        <w:t xml:space="preserve"> τα </w:t>
      </w:r>
      <w:r w:rsidR="00DC2BC0">
        <w:rPr>
          <w:rFonts w:ascii="Times New Roman" w:eastAsia="Times New Roman" w:hAnsi="Times New Roman" w:cs="Times New Roman"/>
          <w:bCs/>
          <w:sz w:val="24"/>
          <w:szCs w:val="24"/>
          <w:lang w:eastAsia="el-GR"/>
        </w:rPr>
        <w:t>τελευταία</w:t>
      </w:r>
      <w:r>
        <w:rPr>
          <w:rFonts w:ascii="Times New Roman" w:eastAsia="Times New Roman" w:hAnsi="Times New Roman" w:cs="Times New Roman"/>
          <w:bCs/>
          <w:sz w:val="24"/>
          <w:szCs w:val="24"/>
          <w:lang w:eastAsia="el-GR"/>
        </w:rPr>
        <w:t xml:space="preserve"> χρόνια την ελληνική αγορά εργασίας παραμέν</w:t>
      </w:r>
      <w:r w:rsidR="00DC2BC0">
        <w:rPr>
          <w:rFonts w:ascii="Times New Roman" w:eastAsia="Times New Roman" w:hAnsi="Times New Roman" w:cs="Times New Roman"/>
          <w:bCs/>
          <w:sz w:val="24"/>
          <w:szCs w:val="24"/>
          <w:lang w:eastAsia="el-GR"/>
        </w:rPr>
        <w:t>ουν</w:t>
      </w:r>
      <w:r>
        <w:rPr>
          <w:rFonts w:ascii="Times New Roman" w:eastAsia="Times New Roman" w:hAnsi="Times New Roman" w:cs="Times New Roman"/>
          <w:bCs/>
          <w:sz w:val="24"/>
          <w:szCs w:val="24"/>
          <w:lang w:eastAsia="el-GR"/>
        </w:rPr>
        <w:t xml:space="preserve">. </w:t>
      </w:r>
      <w:r w:rsidR="00DC2BC0">
        <w:rPr>
          <w:rFonts w:ascii="Times New Roman" w:eastAsia="Times New Roman" w:hAnsi="Times New Roman" w:cs="Times New Roman"/>
          <w:bCs/>
          <w:sz w:val="24"/>
          <w:szCs w:val="24"/>
          <w:lang w:eastAsia="el-GR"/>
        </w:rPr>
        <w:t xml:space="preserve">Το 37,6% των </w:t>
      </w:r>
      <w:r w:rsidR="001C560E">
        <w:rPr>
          <w:rFonts w:ascii="Times New Roman" w:eastAsia="Times New Roman" w:hAnsi="Times New Roman" w:cs="Times New Roman"/>
          <w:bCs/>
          <w:sz w:val="24"/>
          <w:szCs w:val="24"/>
          <w:lang w:eastAsia="el-GR"/>
        </w:rPr>
        <w:t>επιχειρήσεων</w:t>
      </w:r>
      <w:r w:rsidR="00DC2BC0">
        <w:rPr>
          <w:rFonts w:ascii="Times New Roman" w:eastAsia="Times New Roman" w:hAnsi="Times New Roman" w:cs="Times New Roman"/>
          <w:bCs/>
          <w:sz w:val="24"/>
          <w:szCs w:val="24"/>
          <w:lang w:eastAsia="el-GR"/>
        </w:rPr>
        <w:t xml:space="preserve"> απασχολούν προσωπικό μερικής/εκ περιτροπής απασχόλησης έναντι του 61,5% που το προσωπικό του είναι πλήρους απασχόλησης</w:t>
      </w:r>
      <w:r w:rsidR="005D4115">
        <w:rPr>
          <w:rFonts w:ascii="Times New Roman" w:eastAsia="Times New Roman" w:hAnsi="Times New Roman" w:cs="Times New Roman"/>
          <w:bCs/>
          <w:sz w:val="24"/>
          <w:szCs w:val="24"/>
          <w:lang w:eastAsia="el-GR"/>
        </w:rPr>
        <w:t xml:space="preserve"> (Γράφημα 20)</w:t>
      </w:r>
      <w:r w:rsidR="00DC2BC0">
        <w:rPr>
          <w:rFonts w:ascii="Times New Roman" w:eastAsia="Times New Roman" w:hAnsi="Times New Roman" w:cs="Times New Roman"/>
          <w:bCs/>
          <w:sz w:val="24"/>
          <w:szCs w:val="24"/>
          <w:lang w:eastAsia="el-GR"/>
        </w:rPr>
        <w:t xml:space="preserve">. Ανάλογα ποσοστά καταγράφονται και στις μηνιαίες εκθέσεις του ΠΣ ΕΡΓΑΝΗ, όπου επιπλέον συνεχίζει να καταγράφεται και </w:t>
      </w:r>
      <w:r w:rsidR="005D4115">
        <w:rPr>
          <w:rFonts w:ascii="Times New Roman" w:eastAsia="Times New Roman" w:hAnsi="Times New Roman" w:cs="Times New Roman"/>
          <w:bCs/>
          <w:sz w:val="24"/>
          <w:szCs w:val="24"/>
          <w:lang w:eastAsia="el-GR"/>
        </w:rPr>
        <w:t>έντονη</w:t>
      </w:r>
      <w:r w:rsidR="00DC2BC0">
        <w:rPr>
          <w:rFonts w:ascii="Times New Roman" w:eastAsia="Times New Roman" w:hAnsi="Times New Roman" w:cs="Times New Roman"/>
          <w:bCs/>
          <w:sz w:val="24"/>
          <w:szCs w:val="24"/>
          <w:lang w:eastAsia="el-GR"/>
        </w:rPr>
        <w:t xml:space="preserve"> κινητικότητα</w:t>
      </w:r>
      <w:r w:rsidR="00457CC7">
        <w:rPr>
          <w:rFonts w:ascii="Times New Roman" w:eastAsia="Times New Roman" w:hAnsi="Times New Roman" w:cs="Times New Roman"/>
          <w:bCs/>
          <w:sz w:val="24"/>
          <w:szCs w:val="24"/>
          <w:lang w:eastAsia="el-GR"/>
        </w:rPr>
        <w:t>,</w:t>
      </w:r>
      <w:r w:rsidR="00DC2BC0">
        <w:rPr>
          <w:rFonts w:ascii="Times New Roman" w:eastAsia="Times New Roman" w:hAnsi="Times New Roman" w:cs="Times New Roman"/>
          <w:bCs/>
          <w:sz w:val="24"/>
          <w:szCs w:val="24"/>
          <w:lang w:eastAsia="el-GR"/>
        </w:rPr>
        <w:t xml:space="preserve"> δεδομένου ότι το εξάμηνο Ιανουάριου – Ιουνίου 2021 </w:t>
      </w:r>
      <w:r w:rsidR="005D4115">
        <w:rPr>
          <w:rFonts w:ascii="Times New Roman" w:eastAsia="Times New Roman" w:hAnsi="Times New Roman" w:cs="Times New Roman"/>
          <w:bCs/>
          <w:sz w:val="24"/>
          <w:szCs w:val="24"/>
          <w:lang w:eastAsia="el-GR"/>
        </w:rPr>
        <w:t xml:space="preserve">αθροιστικά </w:t>
      </w:r>
      <w:r w:rsidR="00DC2BC0">
        <w:rPr>
          <w:rFonts w:ascii="Times New Roman" w:eastAsia="Times New Roman" w:hAnsi="Times New Roman" w:cs="Times New Roman"/>
          <w:bCs/>
          <w:sz w:val="24"/>
          <w:szCs w:val="24"/>
          <w:lang w:eastAsia="el-GR"/>
        </w:rPr>
        <w:t xml:space="preserve">δηλώθηκαν </w:t>
      </w:r>
      <w:r w:rsidR="005D4115">
        <w:rPr>
          <w:rFonts w:ascii="Times New Roman" w:eastAsia="Times New Roman" w:hAnsi="Times New Roman" w:cs="Times New Roman"/>
          <w:bCs/>
          <w:sz w:val="24"/>
          <w:szCs w:val="24"/>
          <w:lang w:eastAsia="el-GR"/>
        </w:rPr>
        <w:t xml:space="preserve">995.596 προσλήψεις και 742.986 αποχωρήσεις. </w:t>
      </w:r>
    </w:p>
    <w:p w14:paraId="70DA77AD" w14:textId="77777777" w:rsidR="006207BC" w:rsidRDefault="006207BC" w:rsidP="00821B05">
      <w:pPr>
        <w:spacing w:after="0" w:line="360" w:lineRule="auto"/>
        <w:jc w:val="both"/>
        <w:rPr>
          <w:rFonts w:ascii="Times New Roman" w:eastAsia="Times New Roman" w:hAnsi="Times New Roman" w:cs="Times New Roman"/>
          <w:b/>
          <w:sz w:val="24"/>
          <w:szCs w:val="24"/>
          <w:u w:val="single"/>
          <w:lang w:eastAsia="el-GR"/>
        </w:rPr>
      </w:pPr>
    </w:p>
    <w:p w14:paraId="42CCD047" w14:textId="1C61D94F" w:rsidR="00326135" w:rsidRPr="00791344" w:rsidRDefault="003F27D9" w:rsidP="00791344">
      <w:pPr>
        <w:spacing w:after="0" w:line="360" w:lineRule="auto"/>
        <w:jc w:val="center"/>
        <w:rPr>
          <w:rFonts w:ascii="Times New Roman" w:eastAsia="Times New Roman" w:hAnsi="Times New Roman" w:cs="Times New Roman"/>
          <w:b/>
          <w:sz w:val="24"/>
          <w:szCs w:val="24"/>
          <w:lang w:eastAsia="el-GR"/>
        </w:rPr>
      </w:pPr>
      <w:r w:rsidRPr="00791344">
        <w:rPr>
          <w:rFonts w:ascii="Times New Roman" w:eastAsia="Times New Roman" w:hAnsi="Times New Roman" w:cs="Times New Roman"/>
          <w:b/>
          <w:sz w:val="24"/>
          <w:szCs w:val="24"/>
          <w:lang w:eastAsia="el-GR"/>
        </w:rPr>
        <w:t>Γράφημα 20</w:t>
      </w:r>
    </w:p>
    <w:p w14:paraId="137C4FB0" w14:textId="4DEA3C05" w:rsidR="00326135" w:rsidRPr="00791344" w:rsidRDefault="00326135" w:rsidP="00791344">
      <w:pPr>
        <w:spacing w:after="0" w:line="360" w:lineRule="auto"/>
        <w:jc w:val="center"/>
        <w:rPr>
          <w:rFonts w:ascii="Times New Roman" w:eastAsia="Times New Roman" w:hAnsi="Times New Roman" w:cs="Times New Roman"/>
          <w:b/>
          <w:sz w:val="20"/>
          <w:szCs w:val="20"/>
          <w:lang w:eastAsia="el-GR"/>
        </w:rPr>
      </w:pPr>
      <w:r w:rsidRPr="00791344">
        <w:rPr>
          <w:rFonts w:ascii="Times New Roman" w:eastAsia="Times New Roman" w:hAnsi="Times New Roman" w:cs="Times New Roman"/>
          <w:b/>
          <w:sz w:val="24"/>
          <w:szCs w:val="24"/>
          <w:lang w:eastAsia="el-GR"/>
        </w:rPr>
        <w:t xml:space="preserve">Απασχολείτε προσωπικό με μερική/εκ περιτροπής απασχόληση; </w:t>
      </w:r>
      <w:r w:rsidRPr="00791344">
        <w:rPr>
          <w:rFonts w:ascii="Times New Roman" w:eastAsia="Times New Roman" w:hAnsi="Times New Roman" w:cs="Times New Roman"/>
          <w:b/>
          <w:sz w:val="24"/>
          <w:szCs w:val="24"/>
          <w:lang w:eastAsia="el-GR"/>
        </w:rPr>
        <w:br/>
      </w:r>
      <w:r w:rsidRPr="00791344">
        <w:rPr>
          <w:rFonts w:ascii="Times New Roman" w:eastAsia="Times New Roman" w:hAnsi="Times New Roman" w:cs="Times New Roman"/>
          <w:b/>
          <w:sz w:val="20"/>
          <w:szCs w:val="20"/>
          <w:lang w:eastAsia="el-GR"/>
        </w:rPr>
        <w:t>-ΒΑΣΗ: Όσοι έχουν δηλώσει ότι απασχολούν αμειβόμενο προσωπικό-</w:t>
      </w:r>
    </w:p>
    <w:p w14:paraId="475014C2" w14:textId="465F0457" w:rsidR="00C05413" w:rsidRDefault="00326135" w:rsidP="00821B05">
      <w:pPr>
        <w:spacing w:after="0" w:line="360" w:lineRule="auto"/>
        <w:jc w:val="both"/>
        <w:rPr>
          <w:rFonts w:ascii="Times New Roman" w:eastAsia="Times New Roman" w:hAnsi="Times New Roman" w:cs="Times New Roman"/>
          <w:b/>
          <w:sz w:val="24"/>
          <w:szCs w:val="24"/>
          <w:u w:val="single"/>
          <w:lang w:eastAsia="el-GR"/>
        </w:rPr>
      </w:pPr>
      <w:r w:rsidRPr="00326135">
        <w:rPr>
          <w:rFonts w:ascii="Times New Roman" w:eastAsia="Times New Roman" w:hAnsi="Times New Roman" w:cs="Times New Roman"/>
          <w:b/>
          <w:noProof/>
          <w:sz w:val="24"/>
          <w:szCs w:val="24"/>
          <w:u w:val="single"/>
          <w:lang w:val="en-US"/>
        </w:rPr>
        <w:drawing>
          <wp:inline distT="0" distB="0" distL="0" distR="0" wp14:anchorId="1DA83F95" wp14:editId="44311091">
            <wp:extent cx="6570980" cy="3131820"/>
            <wp:effectExtent l="0" t="0" r="0" b="0"/>
            <wp:docPr id="46" name="Γράφημα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636618F" w14:textId="1F9AC576" w:rsidR="00326135" w:rsidRDefault="00326135" w:rsidP="00821B05">
      <w:pPr>
        <w:spacing w:after="0" w:line="360" w:lineRule="auto"/>
        <w:jc w:val="both"/>
        <w:rPr>
          <w:rFonts w:ascii="Times New Roman" w:eastAsia="Times New Roman" w:hAnsi="Times New Roman" w:cs="Times New Roman"/>
          <w:b/>
          <w:sz w:val="24"/>
          <w:szCs w:val="24"/>
          <w:u w:val="single"/>
          <w:lang w:eastAsia="el-GR"/>
        </w:rPr>
      </w:pPr>
    </w:p>
    <w:p w14:paraId="0F960B5C" w14:textId="14CECC76" w:rsidR="005D4115" w:rsidRPr="005D4115" w:rsidRDefault="005D4115" w:rsidP="00821B05">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Η εποχικότητα που στην προκειμένη συγκυρία οφείλεται και στην αβεβαιότητα φαίνεται από το εύρημα πως για το επόμενο εξάμηνο το ισοζύγιο μεταξύ των επιχειρήσεων που </w:t>
      </w:r>
      <w:r w:rsidR="001C560E">
        <w:rPr>
          <w:rFonts w:ascii="Times New Roman" w:eastAsia="Times New Roman" w:hAnsi="Times New Roman" w:cs="Times New Roman"/>
          <w:bCs/>
          <w:sz w:val="24"/>
          <w:szCs w:val="24"/>
          <w:lang w:eastAsia="el-GR"/>
        </w:rPr>
        <w:t xml:space="preserve">θα </w:t>
      </w:r>
      <w:r>
        <w:rPr>
          <w:rFonts w:ascii="Times New Roman" w:eastAsia="Times New Roman" w:hAnsi="Times New Roman" w:cs="Times New Roman"/>
          <w:bCs/>
          <w:sz w:val="24"/>
          <w:szCs w:val="24"/>
          <w:lang w:eastAsia="el-GR"/>
        </w:rPr>
        <w:t>προσλάβουν</w:t>
      </w:r>
      <w:r w:rsidR="001C560E">
        <w:rPr>
          <w:rFonts w:ascii="Times New Roman" w:eastAsia="Times New Roman" w:hAnsi="Times New Roman" w:cs="Times New Roman"/>
          <w:bCs/>
          <w:sz w:val="24"/>
          <w:szCs w:val="24"/>
          <w:lang w:eastAsia="el-GR"/>
        </w:rPr>
        <w:t xml:space="preserve">/αποδεσμεύσουν </w:t>
      </w:r>
      <w:r>
        <w:rPr>
          <w:rFonts w:ascii="Times New Roman" w:eastAsia="Times New Roman" w:hAnsi="Times New Roman" w:cs="Times New Roman"/>
          <w:bCs/>
          <w:sz w:val="24"/>
          <w:szCs w:val="24"/>
          <w:lang w:eastAsia="el-GR"/>
        </w:rPr>
        <w:t xml:space="preserve">προσωπικό είναι αρνητικό, κάτι που έχει παρατηρηθεί σε όλες σχεδόν τις σχετικές έρευνες που έχει διεξάγει το ΙΜΕ ΓΣΕΒΕΕ και αφορούν τις εκτιμήσεις των επιχειρήσεων ως προς το προσωπικό τους για τα Β εξάμηνα των ετών. Συγκεκριμένα, το </w:t>
      </w:r>
      <w:r w:rsidR="001C560E">
        <w:rPr>
          <w:rFonts w:ascii="Times New Roman" w:eastAsia="Times New Roman" w:hAnsi="Times New Roman" w:cs="Times New Roman"/>
          <w:bCs/>
          <w:sz w:val="24"/>
          <w:szCs w:val="24"/>
          <w:lang w:eastAsia="el-GR"/>
        </w:rPr>
        <w:t xml:space="preserve">5,5% των επιχειρήσεων θα αυξήσει το προσωπικό του έναντι του 6,1% που θα το μειώσει. Ο τομέας των υπηρεσιών είναι εκείνος που παρουσιάζει αρνητικό ισοζύγιο ως προς τις </w:t>
      </w:r>
      <w:r w:rsidR="005B0CFF">
        <w:rPr>
          <w:rFonts w:ascii="Times New Roman" w:eastAsia="Times New Roman" w:hAnsi="Times New Roman" w:cs="Times New Roman"/>
          <w:bCs/>
          <w:sz w:val="24"/>
          <w:szCs w:val="24"/>
          <w:lang w:eastAsia="el-GR"/>
        </w:rPr>
        <w:t>εκτιμήσεις</w:t>
      </w:r>
      <w:r w:rsidR="001C560E">
        <w:rPr>
          <w:rFonts w:ascii="Times New Roman" w:eastAsia="Times New Roman" w:hAnsi="Times New Roman" w:cs="Times New Roman"/>
          <w:bCs/>
          <w:sz w:val="24"/>
          <w:szCs w:val="24"/>
          <w:lang w:eastAsia="el-GR"/>
        </w:rPr>
        <w:t xml:space="preserve"> των επιχειρήσεων για το προσωπικό τους, </w:t>
      </w:r>
      <w:r w:rsidR="005B0CFF">
        <w:rPr>
          <w:rFonts w:ascii="Times New Roman" w:eastAsia="Times New Roman" w:hAnsi="Times New Roman" w:cs="Times New Roman"/>
          <w:bCs/>
          <w:sz w:val="24"/>
          <w:szCs w:val="24"/>
          <w:lang w:eastAsia="el-GR"/>
        </w:rPr>
        <w:t>έναντι</w:t>
      </w:r>
      <w:r w:rsidR="001C560E">
        <w:rPr>
          <w:rFonts w:ascii="Times New Roman" w:eastAsia="Times New Roman" w:hAnsi="Times New Roman" w:cs="Times New Roman"/>
          <w:bCs/>
          <w:sz w:val="24"/>
          <w:szCs w:val="24"/>
          <w:lang w:eastAsia="el-GR"/>
        </w:rPr>
        <w:t xml:space="preserve"> του εμπορίου και της μεταποίησης που το ισοζύγιο είναι θετικό. Ειδικότερα</w:t>
      </w:r>
      <w:r w:rsidR="00014CFE">
        <w:rPr>
          <w:rFonts w:ascii="Times New Roman" w:eastAsia="Times New Roman" w:hAnsi="Times New Roman" w:cs="Times New Roman"/>
          <w:bCs/>
          <w:sz w:val="24"/>
          <w:szCs w:val="24"/>
          <w:lang w:eastAsia="el-GR"/>
        </w:rPr>
        <w:t>,</w:t>
      </w:r>
      <w:r w:rsidR="001C560E">
        <w:rPr>
          <w:rFonts w:ascii="Times New Roman" w:eastAsia="Times New Roman" w:hAnsi="Times New Roman" w:cs="Times New Roman"/>
          <w:bCs/>
          <w:sz w:val="24"/>
          <w:szCs w:val="24"/>
          <w:lang w:eastAsia="el-GR"/>
        </w:rPr>
        <w:t xml:space="preserve"> </w:t>
      </w:r>
      <w:r w:rsidR="005B0CFF">
        <w:rPr>
          <w:rFonts w:ascii="Times New Roman" w:eastAsia="Times New Roman" w:hAnsi="Times New Roman" w:cs="Times New Roman"/>
          <w:bCs/>
          <w:sz w:val="24"/>
          <w:szCs w:val="24"/>
          <w:lang w:eastAsia="el-GR"/>
        </w:rPr>
        <w:t>το 8,4% των επιχειρήσεων του τομέα των υπηρεσιών θα μειώσουν το προσωπικό τους, έναντι του 6,2% που θα το αυξήσει. Όσον αφορά τις επιχειρήσεις που το προηγούμενο διάστημα είχαν αναστείλει τη λειτουργία τους με κρατική εντολή το 3,1% δήλωσε πως θα αυξήσει το προσωπικό του έναντι του 5,8% που δήλωσε πως θα το μειώσει. Αντίστοιχα</w:t>
      </w:r>
      <w:r w:rsidR="00014CFE">
        <w:rPr>
          <w:rFonts w:ascii="Times New Roman" w:eastAsia="Times New Roman" w:hAnsi="Times New Roman" w:cs="Times New Roman"/>
          <w:bCs/>
          <w:sz w:val="24"/>
          <w:szCs w:val="24"/>
          <w:lang w:eastAsia="el-GR"/>
        </w:rPr>
        <w:t>,</w:t>
      </w:r>
      <w:r w:rsidR="005B0CFF">
        <w:rPr>
          <w:rFonts w:ascii="Times New Roman" w:eastAsia="Times New Roman" w:hAnsi="Times New Roman" w:cs="Times New Roman"/>
          <w:bCs/>
          <w:sz w:val="24"/>
          <w:szCs w:val="24"/>
          <w:lang w:eastAsia="el-GR"/>
        </w:rPr>
        <w:t xml:space="preserve"> το 3,1% των επιχειρήσεων εστίασης δήλωσε πως το επόμενο εξάμηνο θα αυξήσει το προσωπικό του έναντι του 15,5% που δήλωσε πως θα το μειώσει. Η σημαντική αυτή διαφορά στο ισοζύγιο που καταγράφουν οι επιχειρήσεις εστίασης υποδηλώνει και την δύσκολη θέση που βρίσκεται ο κλάδος λόγω των περιορισμών που έχουν υιοθετηθεί στην δραστηριότητα και ως εκ τούτου</w:t>
      </w:r>
      <w:r w:rsidR="00014CFE">
        <w:rPr>
          <w:rFonts w:ascii="Times New Roman" w:eastAsia="Times New Roman" w:hAnsi="Times New Roman" w:cs="Times New Roman"/>
          <w:bCs/>
          <w:sz w:val="24"/>
          <w:szCs w:val="24"/>
          <w:lang w:eastAsia="el-GR"/>
        </w:rPr>
        <w:t>,</w:t>
      </w:r>
      <w:r w:rsidR="005B0CFF">
        <w:rPr>
          <w:rFonts w:ascii="Times New Roman" w:eastAsia="Times New Roman" w:hAnsi="Times New Roman" w:cs="Times New Roman"/>
          <w:bCs/>
          <w:sz w:val="24"/>
          <w:szCs w:val="24"/>
          <w:lang w:eastAsia="el-GR"/>
        </w:rPr>
        <w:t xml:space="preserve"> γεννούν την ανάγκη συνέχισης των μέτρων συγκράτησης της απασχόλησης για τις επιχειρήσεις αυτές. </w:t>
      </w:r>
    </w:p>
    <w:p w14:paraId="2EF59D28" w14:textId="77777777" w:rsidR="005D4115" w:rsidRPr="00E36734" w:rsidRDefault="005D4115" w:rsidP="00821B05">
      <w:pPr>
        <w:spacing w:after="0" w:line="360" w:lineRule="auto"/>
        <w:jc w:val="both"/>
        <w:rPr>
          <w:rFonts w:ascii="Times New Roman" w:eastAsia="Times New Roman" w:hAnsi="Times New Roman" w:cs="Times New Roman"/>
          <w:b/>
          <w:sz w:val="24"/>
          <w:szCs w:val="24"/>
          <w:u w:val="single"/>
          <w:lang w:eastAsia="el-GR"/>
        </w:rPr>
      </w:pPr>
    </w:p>
    <w:p w14:paraId="77FA658B" w14:textId="5AA0956F" w:rsidR="00A9257F" w:rsidRPr="00E36734" w:rsidRDefault="00A9257F" w:rsidP="00761263">
      <w:pPr>
        <w:pStyle w:val="a5"/>
        <w:numPr>
          <w:ilvl w:val="0"/>
          <w:numId w:val="1"/>
        </w:numPr>
        <w:spacing w:after="0" w:line="360" w:lineRule="auto"/>
        <w:jc w:val="both"/>
        <w:rPr>
          <w:rFonts w:ascii="Times New Roman" w:eastAsia="Times New Roman" w:hAnsi="Times New Roman" w:cs="Times New Roman"/>
          <w:b/>
          <w:sz w:val="24"/>
          <w:szCs w:val="24"/>
          <w:u w:val="single"/>
          <w:lang w:eastAsia="el-GR"/>
        </w:rPr>
      </w:pPr>
      <w:r w:rsidRPr="00E36734">
        <w:rPr>
          <w:rFonts w:ascii="Times New Roman" w:eastAsia="Times New Roman" w:hAnsi="Times New Roman" w:cs="Times New Roman"/>
          <w:b/>
          <w:sz w:val="24"/>
          <w:szCs w:val="24"/>
          <w:u w:val="single"/>
          <w:lang w:eastAsia="el-GR"/>
        </w:rPr>
        <w:t xml:space="preserve">ΠΡΟΒΛΕΨΕΙΣ ΓΙΑ ΤΟ </w:t>
      </w:r>
      <w:r w:rsidR="000E14C2">
        <w:rPr>
          <w:rFonts w:ascii="Times New Roman" w:eastAsia="Times New Roman" w:hAnsi="Times New Roman" w:cs="Times New Roman"/>
          <w:b/>
          <w:sz w:val="24"/>
          <w:szCs w:val="24"/>
          <w:u w:val="single"/>
          <w:lang w:eastAsia="el-GR"/>
        </w:rPr>
        <w:t>Β</w:t>
      </w:r>
      <w:r w:rsidRPr="00E36734">
        <w:rPr>
          <w:rFonts w:ascii="Times New Roman" w:eastAsia="Times New Roman" w:hAnsi="Times New Roman" w:cs="Times New Roman"/>
          <w:b/>
          <w:sz w:val="24"/>
          <w:szCs w:val="24"/>
          <w:u w:val="single"/>
          <w:lang w:eastAsia="el-GR"/>
        </w:rPr>
        <w:t xml:space="preserve"> ΕΞΑΜΗΝΟ 202</w:t>
      </w:r>
      <w:r w:rsidR="00C05413" w:rsidRPr="00E36734">
        <w:rPr>
          <w:rFonts w:ascii="Times New Roman" w:eastAsia="Times New Roman" w:hAnsi="Times New Roman" w:cs="Times New Roman"/>
          <w:b/>
          <w:sz w:val="24"/>
          <w:szCs w:val="24"/>
          <w:u w:val="single"/>
          <w:lang w:eastAsia="el-GR"/>
        </w:rPr>
        <w:t>1</w:t>
      </w:r>
    </w:p>
    <w:p w14:paraId="22C4FFCE" w14:textId="21BB8C8C" w:rsidR="00492D38" w:rsidRPr="00F379B8" w:rsidRDefault="00C05413" w:rsidP="00761263">
      <w:pPr>
        <w:spacing w:after="0" w:line="360" w:lineRule="auto"/>
        <w:jc w:val="both"/>
        <w:rPr>
          <w:rFonts w:ascii="Times New Roman" w:eastAsia="Times New Roman" w:hAnsi="Times New Roman" w:cs="Times New Roman"/>
          <w:sz w:val="24"/>
          <w:szCs w:val="24"/>
          <w:lang w:eastAsia="el-GR"/>
        </w:rPr>
      </w:pPr>
      <w:r w:rsidRPr="00F379B8">
        <w:rPr>
          <w:rFonts w:ascii="Times New Roman" w:eastAsia="Times New Roman" w:hAnsi="Times New Roman" w:cs="Times New Roman"/>
          <w:sz w:val="24"/>
          <w:szCs w:val="24"/>
          <w:lang w:eastAsia="el-GR"/>
        </w:rPr>
        <w:t xml:space="preserve">Οι προσδοκίες για το </w:t>
      </w:r>
      <w:r w:rsidR="006207BC" w:rsidRPr="00F379B8">
        <w:rPr>
          <w:rFonts w:ascii="Times New Roman" w:eastAsia="Times New Roman" w:hAnsi="Times New Roman" w:cs="Times New Roman"/>
          <w:sz w:val="24"/>
          <w:szCs w:val="24"/>
          <w:lang w:eastAsia="el-GR"/>
        </w:rPr>
        <w:t>Β</w:t>
      </w:r>
      <w:r w:rsidRPr="00F379B8">
        <w:rPr>
          <w:rFonts w:ascii="Times New Roman" w:eastAsia="Times New Roman" w:hAnsi="Times New Roman" w:cs="Times New Roman"/>
          <w:sz w:val="24"/>
          <w:szCs w:val="24"/>
          <w:lang w:eastAsia="el-GR"/>
        </w:rPr>
        <w:t xml:space="preserve"> εξάμηνο του 2021 </w:t>
      </w:r>
      <w:r w:rsidR="006207BC" w:rsidRPr="00F379B8">
        <w:rPr>
          <w:rFonts w:ascii="Times New Roman" w:eastAsia="Times New Roman" w:hAnsi="Times New Roman" w:cs="Times New Roman"/>
          <w:sz w:val="24"/>
          <w:szCs w:val="24"/>
          <w:lang w:eastAsia="el-GR"/>
        </w:rPr>
        <w:t>παρουσιάζουν βελτίωση σε σύγκριση με τις δυο προηγούμενες έρευνες κλίματος</w:t>
      </w:r>
      <w:r w:rsidR="00E231E3" w:rsidRPr="00F379B8">
        <w:rPr>
          <w:rFonts w:ascii="Times New Roman" w:eastAsia="Times New Roman" w:hAnsi="Times New Roman" w:cs="Times New Roman"/>
          <w:sz w:val="24"/>
          <w:szCs w:val="24"/>
          <w:lang w:eastAsia="el-GR"/>
        </w:rPr>
        <w:t xml:space="preserve"> καθώς είναι περισσότερες οι επιχειρήσεις</w:t>
      </w:r>
      <w:r w:rsidR="006207BC" w:rsidRPr="00F379B8">
        <w:rPr>
          <w:rFonts w:ascii="Times New Roman" w:eastAsia="Times New Roman" w:hAnsi="Times New Roman" w:cs="Times New Roman"/>
          <w:sz w:val="24"/>
          <w:szCs w:val="24"/>
          <w:lang w:eastAsia="el-GR"/>
        </w:rPr>
        <w:t xml:space="preserve"> </w:t>
      </w:r>
      <w:r w:rsidR="00E231E3" w:rsidRPr="00F379B8">
        <w:rPr>
          <w:rFonts w:ascii="Times New Roman" w:eastAsia="Times New Roman" w:hAnsi="Times New Roman" w:cs="Times New Roman"/>
          <w:sz w:val="24"/>
          <w:szCs w:val="24"/>
          <w:lang w:eastAsia="el-GR"/>
        </w:rPr>
        <w:t>που αισιοδοξούν για το επόμενο διάστημα</w:t>
      </w:r>
      <w:r w:rsidR="006207BC" w:rsidRPr="00F379B8">
        <w:rPr>
          <w:rFonts w:ascii="Times New Roman" w:eastAsia="Times New Roman" w:hAnsi="Times New Roman" w:cs="Times New Roman"/>
          <w:sz w:val="24"/>
          <w:szCs w:val="24"/>
          <w:lang w:eastAsia="el-GR"/>
        </w:rPr>
        <w:t xml:space="preserve">. </w:t>
      </w:r>
      <w:r w:rsidR="00E231E3" w:rsidRPr="00F379B8">
        <w:rPr>
          <w:rFonts w:ascii="Times New Roman" w:eastAsia="Times New Roman" w:hAnsi="Times New Roman" w:cs="Times New Roman"/>
          <w:sz w:val="24"/>
          <w:szCs w:val="24"/>
          <w:lang w:eastAsia="el-GR"/>
        </w:rPr>
        <w:t xml:space="preserve">Ωστόσο, το μεγαλύτερο μέρος των επιχειρήσεων συνεχίζει να είναι απαισιόδοξο για το επόμενο διάστημα, δεδομένου ότι το 39,4% αναμένει να επιδεινωθεί η οικονομική του κατάσταση, έναντι του 20,6% που θεωρεί πως θα βελτιωθεί και του 27,4% που δηλώνει πως θα παραμείνει αμετάβλητη. </w:t>
      </w:r>
      <w:r w:rsidR="000A1D64">
        <w:rPr>
          <w:rFonts w:ascii="Times New Roman" w:eastAsia="Times New Roman" w:hAnsi="Times New Roman" w:cs="Times New Roman"/>
          <w:sz w:val="24"/>
          <w:szCs w:val="24"/>
          <w:lang w:eastAsia="el-GR"/>
        </w:rPr>
        <w:t>Χαρακτηριστικό</w:t>
      </w:r>
      <w:r w:rsidR="00AF1E03">
        <w:rPr>
          <w:rFonts w:ascii="Times New Roman" w:eastAsia="Times New Roman" w:hAnsi="Times New Roman" w:cs="Times New Roman"/>
          <w:sz w:val="24"/>
          <w:szCs w:val="24"/>
          <w:lang w:eastAsia="el-GR"/>
        </w:rPr>
        <w:t xml:space="preserve"> είναι μάλιστα πως με βάση τα στοιχεία της έρευνας το 86,4% των μικρών και πολύ μικρών </w:t>
      </w:r>
      <w:r w:rsidR="000A1D64">
        <w:rPr>
          <w:rFonts w:ascii="Times New Roman" w:eastAsia="Times New Roman" w:hAnsi="Times New Roman" w:cs="Times New Roman"/>
          <w:sz w:val="24"/>
          <w:szCs w:val="24"/>
          <w:lang w:eastAsia="el-GR"/>
        </w:rPr>
        <w:t>επιχειρήσεων</w:t>
      </w:r>
      <w:r w:rsidR="00AF1E03">
        <w:rPr>
          <w:rFonts w:ascii="Times New Roman" w:eastAsia="Times New Roman" w:hAnsi="Times New Roman" w:cs="Times New Roman"/>
          <w:sz w:val="24"/>
          <w:szCs w:val="24"/>
          <w:lang w:eastAsia="el-GR"/>
        </w:rPr>
        <w:t xml:space="preserve"> θεωρεί πως </w:t>
      </w:r>
      <w:r w:rsidR="00AF1E03" w:rsidRPr="00AF1E03">
        <w:rPr>
          <w:rFonts w:ascii="Times New Roman" w:eastAsia="Times New Roman" w:hAnsi="Times New Roman" w:cs="Times New Roman"/>
          <w:sz w:val="24"/>
          <w:szCs w:val="24"/>
          <w:lang w:eastAsia="el-GR"/>
        </w:rPr>
        <w:t xml:space="preserve">η οικονομική κρίση που έχει προκαλέσει η πανδημία θα διαρκέσει τουλάχιστον </w:t>
      </w:r>
      <w:r w:rsidR="000A1D64">
        <w:rPr>
          <w:rFonts w:ascii="Times New Roman" w:eastAsia="Times New Roman" w:hAnsi="Times New Roman" w:cs="Times New Roman"/>
          <w:sz w:val="24"/>
          <w:szCs w:val="24"/>
          <w:lang w:eastAsia="el-GR"/>
        </w:rPr>
        <w:t xml:space="preserve">άλλα </w:t>
      </w:r>
      <w:r w:rsidR="00AF1E03" w:rsidRPr="00AF1E03">
        <w:rPr>
          <w:rFonts w:ascii="Times New Roman" w:eastAsia="Times New Roman" w:hAnsi="Times New Roman" w:cs="Times New Roman"/>
          <w:sz w:val="24"/>
          <w:szCs w:val="24"/>
          <w:lang w:eastAsia="el-GR"/>
        </w:rPr>
        <w:t>2 χρόνια</w:t>
      </w:r>
      <w:r w:rsidR="000A1D64">
        <w:rPr>
          <w:rFonts w:ascii="Times New Roman" w:eastAsia="Times New Roman" w:hAnsi="Times New Roman" w:cs="Times New Roman"/>
          <w:sz w:val="24"/>
          <w:szCs w:val="24"/>
          <w:lang w:eastAsia="el-GR"/>
        </w:rPr>
        <w:t>,</w:t>
      </w:r>
      <w:r w:rsidR="00AF1E03" w:rsidRPr="00AF1E03">
        <w:rPr>
          <w:rFonts w:ascii="Times New Roman" w:eastAsia="Times New Roman" w:hAnsi="Times New Roman" w:cs="Times New Roman"/>
          <w:sz w:val="24"/>
          <w:szCs w:val="24"/>
          <w:lang w:eastAsia="el-GR"/>
        </w:rPr>
        <w:t xml:space="preserve"> με τους επιχειρηματίες της εστίασης να καταγράφουν το μεγαλύτερο ποσοστό (</w:t>
      </w:r>
      <w:r w:rsidR="000A1D64">
        <w:rPr>
          <w:rFonts w:ascii="Times New Roman" w:eastAsia="Times New Roman" w:hAnsi="Times New Roman" w:cs="Times New Roman"/>
          <w:sz w:val="24"/>
          <w:szCs w:val="24"/>
          <w:lang w:eastAsia="el-GR"/>
        </w:rPr>
        <w:t>91</w:t>
      </w:r>
      <w:r w:rsidR="00AF1E03" w:rsidRPr="00AF1E03">
        <w:rPr>
          <w:rFonts w:ascii="Times New Roman" w:eastAsia="Times New Roman" w:hAnsi="Times New Roman" w:cs="Times New Roman"/>
          <w:sz w:val="24"/>
          <w:szCs w:val="24"/>
          <w:lang w:eastAsia="el-GR"/>
        </w:rPr>
        <w:t xml:space="preserve">%). </w:t>
      </w:r>
    </w:p>
    <w:p w14:paraId="67A5249A" w14:textId="2E0D6A87" w:rsidR="001E3135" w:rsidRDefault="00E231E3" w:rsidP="00761263">
      <w:pPr>
        <w:spacing w:after="0" w:line="360" w:lineRule="auto"/>
        <w:jc w:val="both"/>
        <w:rPr>
          <w:rFonts w:ascii="Times New Roman" w:eastAsia="Times New Roman" w:hAnsi="Times New Roman" w:cs="Times New Roman"/>
          <w:sz w:val="24"/>
          <w:szCs w:val="24"/>
          <w:lang w:eastAsia="el-GR"/>
        </w:rPr>
      </w:pPr>
      <w:r w:rsidRPr="00F379B8">
        <w:rPr>
          <w:rFonts w:ascii="Times New Roman" w:eastAsia="Times New Roman" w:hAnsi="Times New Roman" w:cs="Times New Roman"/>
          <w:sz w:val="24"/>
          <w:szCs w:val="24"/>
          <w:lang w:eastAsia="el-GR"/>
        </w:rPr>
        <w:t>Στους επιμέρους δείκτες, το 33,7</w:t>
      </w:r>
      <w:r w:rsidR="00AF1E03">
        <w:rPr>
          <w:rFonts w:ascii="Times New Roman" w:eastAsia="Times New Roman" w:hAnsi="Times New Roman" w:cs="Times New Roman"/>
          <w:sz w:val="24"/>
          <w:szCs w:val="24"/>
          <w:lang w:eastAsia="el-GR"/>
        </w:rPr>
        <w:t>%</w:t>
      </w:r>
      <w:r w:rsidR="00F379B8">
        <w:rPr>
          <w:rFonts w:ascii="Times New Roman" w:eastAsia="Times New Roman" w:hAnsi="Times New Roman" w:cs="Times New Roman"/>
          <w:sz w:val="24"/>
          <w:szCs w:val="24"/>
          <w:lang w:eastAsia="el-GR"/>
        </w:rPr>
        <w:t xml:space="preserve"> των επιχειρήσεων δηλώνει πως το επόμενο εξάμηνο θα μειωθεί ο κύκλος εργασιών του, έναντι του 23,6% που θεωρεί πως θα αυξηθεί και του 30,7% που δηλώνει πως θα παραμείνει αμετάβλητος. </w:t>
      </w:r>
      <w:r w:rsidR="001E3135">
        <w:rPr>
          <w:rFonts w:ascii="Times New Roman" w:eastAsia="Times New Roman" w:hAnsi="Times New Roman" w:cs="Times New Roman"/>
          <w:sz w:val="24"/>
          <w:szCs w:val="24"/>
          <w:lang w:eastAsia="el-GR"/>
        </w:rPr>
        <w:t>Ανάλογα είναι τα ευρήματα και για τη ζήτηση, τις παραγγελίες και τη ρευστότητα (Γράφημα 21). Συγκεκριμένα ως προς τη ζήτηση το 23,9% δηλώνει πως θα αυξηθεί το επόμενο εξάμηνο, το 34,6% πως θα μειωθεί και το 29,7% πως θα παραμείνει αμετάβλητη. Ως προς τις παραγγελίες</w:t>
      </w:r>
      <w:r w:rsidR="00014CFE">
        <w:rPr>
          <w:rFonts w:ascii="Times New Roman" w:eastAsia="Times New Roman" w:hAnsi="Times New Roman" w:cs="Times New Roman"/>
          <w:sz w:val="24"/>
          <w:szCs w:val="24"/>
          <w:lang w:eastAsia="el-GR"/>
        </w:rPr>
        <w:t>,</w:t>
      </w:r>
      <w:r w:rsidR="001E3135">
        <w:rPr>
          <w:rFonts w:ascii="Times New Roman" w:eastAsia="Times New Roman" w:hAnsi="Times New Roman" w:cs="Times New Roman"/>
          <w:sz w:val="24"/>
          <w:szCs w:val="24"/>
          <w:lang w:eastAsia="el-GR"/>
        </w:rPr>
        <w:t xml:space="preserve"> το 22,4% δηλώνει πως θα αυξηθούν το επόμενο εξάμηνο, το 34% πως θα μειωθούν και το 31,5% πως δεν θα μεταβληθούν. Σχετικά με την ρευστότητα, το 22,9% θεωρεί πως θα αυξηθεί το επόμενο εξάμηνο, το 35,4% πως θα μειωθεί και το 30,5% πως δεν θα μεταβληθεί.  </w:t>
      </w:r>
      <w:r w:rsidR="006B67CA">
        <w:rPr>
          <w:rFonts w:ascii="Times New Roman" w:eastAsia="Times New Roman" w:hAnsi="Times New Roman" w:cs="Times New Roman"/>
          <w:sz w:val="24"/>
          <w:szCs w:val="24"/>
          <w:lang w:eastAsia="el-GR"/>
        </w:rPr>
        <w:t xml:space="preserve">Όσον αφορά την επενδυτική δραστηριότητα το 14,2% των επιχειρήσεων δήλωσε πως θα προχωρήσει σε κάποιου είδους επένδυση το επόμενο εξάμηνο, </w:t>
      </w:r>
      <w:r w:rsidR="00014CFE">
        <w:rPr>
          <w:rFonts w:ascii="Times New Roman" w:eastAsia="Times New Roman" w:hAnsi="Times New Roman" w:cs="Times New Roman"/>
          <w:sz w:val="24"/>
          <w:szCs w:val="24"/>
          <w:lang w:eastAsia="el-GR"/>
        </w:rPr>
        <w:t>γεγονός που είναι θετικό</w:t>
      </w:r>
      <w:r w:rsidR="006B67CA">
        <w:rPr>
          <w:rFonts w:ascii="Times New Roman" w:eastAsia="Times New Roman" w:hAnsi="Times New Roman" w:cs="Times New Roman"/>
          <w:sz w:val="24"/>
          <w:szCs w:val="24"/>
          <w:lang w:eastAsia="el-GR"/>
        </w:rPr>
        <w:t xml:space="preserve"> καθώς το ποσοστό των επιχειρήσεων που δηλώνει πως θα κάνει επενδύσεις τείνει να αγγίξει τα προ πανδημίας ποσοστά των ερευνών του ΙΜΕ ΓΣΕΒΕΕ. </w:t>
      </w:r>
    </w:p>
    <w:p w14:paraId="2CA5FE4E" w14:textId="33B3D510" w:rsidR="00AF1E03" w:rsidRPr="00F379B8" w:rsidRDefault="000A1D64" w:rsidP="00761263">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Όσον αφορά τις τιμές αγαθών/υπηρεσιών</w:t>
      </w:r>
      <w:r w:rsidR="00014CFE">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22,2% των επιχειρήσεων δηλώνουν ότι θα αυξήσουν τις τιμές τους το επόμενο εξάμηνο, έναντι μόλις του 8,2% που δηλώνει πως θα τις μειώσει και του 61,8% που δεν θα τις μεταβάλει. Το ποσοστό των επιχειρήσεων που δηλώνουν πως θα αυξήσουν τις τιμές τους είναι το μεγαλύτερο που έχει καταγραφεί σε έρευνα κλίματος του ΙΜΕ ΓΣΕΒΕΕ και μάλιστα είναι τριπλάσιο σε σχέση με τις έρευνες των τελευταίων </w:t>
      </w:r>
      <w:r w:rsidR="00A71250">
        <w:rPr>
          <w:rFonts w:ascii="Times New Roman" w:eastAsia="Times New Roman" w:hAnsi="Times New Roman" w:cs="Times New Roman"/>
          <w:sz w:val="24"/>
          <w:szCs w:val="24"/>
          <w:lang w:eastAsia="el-GR"/>
        </w:rPr>
        <w:t>πέντε</w:t>
      </w:r>
      <w:r>
        <w:rPr>
          <w:rFonts w:ascii="Times New Roman" w:eastAsia="Times New Roman" w:hAnsi="Times New Roman" w:cs="Times New Roman"/>
          <w:sz w:val="24"/>
          <w:szCs w:val="24"/>
          <w:lang w:eastAsia="el-GR"/>
        </w:rPr>
        <w:t xml:space="preserve"> ετών. Από τα στοιχεία φαίνεται πως το επόμενο εξάμηνο θα συνεχιστούν οι ανατιμήσεις σε προϊόντα και υπηρεσίες</w:t>
      </w:r>
      <w:r w:rsidR="00014CFE">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ένα ζήτημα που </w:t>
      </w:r>
      <w:r w:rsidR="006B67CA">
        <w:rPr>
          <w:rFonts w:ascii="Times New Roman" w:eastAsia="Times New Roman" w:hAnsi="Times New Roman" w:cs="Times New Roman"/>
          <w:sz w:val="24"/>
          <w:szCs w:val="24"/>
          <w:lang w:eastAsia="el-GR"/>
        </w:rPr>
        <w:t>υπό</w:t>
      </w:r>
      <w:r>
        <w:rPr>
          <w:rFonts w:ascii="Times New Roman" w:eastAsia="Times New Roman" w:hAnsi="Times New Roman" w:cs="Times New Roman"/>
          <w:sz w:val="24"/>
          <w:szCs w:val="24"/>
          <w:lang w:eastAsia="el-GR"/>
        </w:rPr>
        <w:t xml:space="preserve"> την παρούσα</w:t>
      </w:r>
      <w:r w:rsidR="006B67CA">
        <w:rPr>
          <w:rFonts w:ascii="Times New Roman" w:eastAsia="Times New Roman" w:hAnsi="Times New Roman" w:cs="Times New Roman"/>
          <w:sz w:val="24"/>
          <w:szCs w:val="24"/>
          <w:lang w:eastAsia="el-GR"/>
        </w:rPr>
        <w:t xml:space="preserve"> δυσμενή</w:t>
      </w:r>
      <w:r>
        <w:rPr>
          <w:rFonts w:ascii="Times New Roman" w:eastAsia="Times New Roman" w:hAnsi="Times New Roman" w:cs="Times New Roman"/>
          <w:sz w:val="24"/>
          <w:szCs w:val="24"/>
          <w:lang w:eastAsia="el-GR"/>
        </w:rPr>
        <w:t xml:space="preserve"> συγκυρία </w:t>
      </w:r>
      <w:r w:rsidR="006B67CA">
        <w:rPr>
          <w:rFonts w:ascii="Times New Roman" w:eastAsia="Times New Roman" w:hAnsi="Times New Roman" w:cs="Times New Roman"/>
          <w:sz w:val="24"/>
          <w:szCs w:val="24"/>
          <w:lang w:eastAsia="el-GR"/>
        </w:rPr>
        <w:t>μειώνει περ</w:t>
      </w:r>
      <w:r w:rsidR="00014CFE">
        <w:rPr>
          <w:rFonts w:ascii="Times New Roman" w:eastAsia="Times New Roman" w:hAnsi="Times New Roman" w:cs="Times New Roman"/>
          <w:sz w:val="24"/>
          <w:szCs w:val="24"/>
          <w:lang w:eastAsia="el-GR"/>
        </w:rPr>
        <w:t>αι</w:t>
      </w:r>
      <w:r w:rsidR="006B67CA">
        <w:rPr>
          <w:rFonts w:ascii="Times New Roman" w:eastAsia="Times New Roman" w:hAnsi="Times New Roman" w:cs="Times New Roman"/>
          <w:sz w:val="24"/>
          <w:szCs w:val="24"/>
          <w:lang w:eastAsia="el-GR"/>
        </w:rPr>
        <w:t>τ</w:t>
      </w:r>
      <w:r w:rsidR="00014CFE">
        <w:rPr>
          <w:rFonts w:ascii="Times New Roman" w:eastAsia="Times New Roman" w:hAnsi="Times New Roman" w:cs="Times New Roman"/>
          <w:sz w:val="24"/>
          <w:szCs w:val="24"/>
          <w:lang w:eastAsia="el-GR"/>
        </w:rPr>
        <w:t>έ</w:t>
      </w:r>
      <w:r w:rsidR="006B67CA">
        <w:rPr>
          <w:rFonts w:ascii="Times New Roman" w:eastAsia="Times New Roman" w:hAnsi="Times New Roman" w:cs="Times New Roman"/>
          <w:sz w:val="24"/>
          <w:szCs w:val="24"/>
          <w:lang w:eastAsia="el-GR"/>
        </w:rPr>
        <w:t xml:space="preserve">ρω το εισόδημα νοικοκυριών και επιχειρήσεων. </w:t>
      </w:r>
    </w:p>
    <w:p w14:paraId="1987BB94" w14:textId="6DE3B26B" w:rsidR="00411D45" w:rsidRDefault="00411D45" w:rsidP="00761263">
      <w:pPr>
        <w:spacing w:after="0" w:line="360" w:lineRule="auto"/>
        <w:jc w:val="both"/>
        <w:rPr>
          <w:rFonts w:ascii="Times New Roman" w:eastAsia="Times New Roman" w:hAnsi="Times New Roman" w:cs="Times New Roman"/>
          <w:b/>
          <w:bCs/>
          <w:sz w:val="24"/>
          <w:szCs w:val="24"/>
          <w:lang w:eastAsia="el-GR"/>
        </w:rPr>
      </w:pPr>
    </w:p>
    <w:p w14:paraId="5340A62F" w14:textId="723447E4" w:rsidR="00045567" w:rsidRDefault="00045567" w:rsidP="00761263">
      <w:pPr>
        <w:spacing w:after="0" w:line="360" w:lineRule="auto"/>
        <w:jc w:val="both"/>
        <w:rPr>
          <w:rFonts w:ascii="Times New Roman" w:eastAsia="Times New Roman" w:hAnsi="Times New Roman" w:cs="Times New Roman"/>
          <w:b/>
          <w:bCs/>
          <w:sz w:val="24"/>
          <w:szCs w:val="24"/>
          <w:lang w:eastAsia="el-GR"/>
        </w:rPr>
      </w:pPr>
    </w:p>
    <w:p w14:paraId="5AB6E878" w14:textId="77777777" w:rsidR="00045567" w:rsidRDefault="00045567" w:rsidP="00761263">
      <w:pPr>
        <w:spacing w:after="0" w:line="360" w:lineRule="auto"/>
        <w:jc w:val="both"/>
        <w:rPr>
          <w:rFonts w:ascii="Times New Roman" w:eastAsia="Times New Roman" w:hAnsi="Times New Roman" w:cs="Times New Roman"/>
          <w:b/>
          <w:bCs/>
          <w:sz w:val="24"/>
          <w:szCs w:val="24"/>
          <w:lang w:eastAsia="el-GR"/>
        </w:rPr>
      </w:pPr>
    </w:p>
    <w:p w14:paraId="1C542A06" w14:textId="77777777" w:rsidR="00DF32C4" w:rsidRDefault="00DF32C4" w:rsidP="00761263">
      <w:pPr>
        <w:spacing w:after="0" w:line="360" w:lineRule="auto"/>
        <w:jc w:val="both"/>
        <w:rPr>
          <w:rFonts w:ascii="Times New Roman" w:eastAsia="Times New Roman" w:hAnsi="Times New Roman" w:cs="Times New Roman"/>
          <w:b/>
          <w:bCs/>
          <w:sz w:val="24"/>
          <w:szCs w:val="24"/>
          <w:lang w:eastAsia="el-GR"/>
        </w:rPr>
      </w:pPr>
    </w:p>
    <w:p w14:paraId="63DCE1DF" w14:textId="77777777" w:rsidR="00DF32C4" w:rsidRDefault="00DF32C4" w:rsidP="00761263">
      <w:pPr>
        <w:spacing w:after="0" w:line="360" w:lineRule="auto"/>
        <w:jc w:val="both"/>
        <w:rPr>
          <w:rFonts w:ascii="Times New Roman" w:eastAsia="Times New Roman" w:hAnsi="Times New Roman" w:cs="Times New Roman"/>
          <w:b/>
          <w:bCs/>
          <w:sz w:val="24"/>
          <w:szCs w:val="24"/>
          <w:lang w:eastAsia="el-GR"/>
        </w:rPr>
      </w:pPr>
    </w:p>
    <w:p w14:paraId="2BD222F8" w14:textId="77777777" w:rsidR="00DF32C4" w:rsidRPr="00E36734" w:rsidRDefault="00DF32C4" w:rsidP="00761263">
      <w:pPr>
        <w:spacing w:after="0" w:line="360" w:lineRule="auto"/>
        <w:jc w:val="both"/>
        <w:rPr>
          <w:rFonts w:ascii="Times New Roman" w:eastAsia="Times New Roman" w:hAnsi="Times New Roman" w:cs="Times New Roman"/>
          <w:b/>
          <w:bCs/>
          <w:sz w:val="24"/>
          <w:szCs w:val="24"/>
          <w:lang w:eastAsia="el-GR"/>
        </w:rPr>
      </w:pPr>
    </w:p>
    <w:p w14:paraId="23AEB25D" w14:textId="7912C087" w:rsidR="00411D45" w:rsidRPr="005B0CFF" w:rsidRDefault="00411D45" w:rsidP="00411D45">
      <w:pPr>
        <w:spacing w:after="0" w:line="360" w:lineRule="auto"/>
        <w:jc w:val="center"/>
        <w:rPr>
          <w:rFonts w:ascii="Times New Roman" w:eastAsia="Times New Roman" w:hAnsi="Times New Roman" w:cs="Times New Roman"/>
          <w:b/>
          <w:bCs/>
          <w:sz w:val="24"/>
          <w:szCs w:val="24"/>
          <w:lang w:eastAsia="el-GR"/>
        </w:rPr>
      </w:pPr>
      <w:r w:rsidRPr="005B0CFF">
        <w:rPr>
          <w:rFonts w:ascii="Times New Roman" w:eastAsia="Times New Roman" w:hAnsi="Times New Roman" w:cs="Times New Roman"/>
          <w:b/>
          <w:bCs/>
          <w:sz w:val="24"/>
          <w:szCs w:val="24"/>
          <w:lang w:eastAsia="el-GR"/>
        </w:rPr>
        <w:lastRenderedPageBreak/>
        <w:t xml:space="preserve">Γράφημα </w:t>
      </w:r>
      <w:r w:rsidR="005B0CFF" w:rsidRPr="005B0CFF">
        <w:rPr>
          <w:rFonts w:ascii="Times New Roman" w:eastAsia="Times New Roman" w:hAnsi="Times New Roman" w:cs="Times New Roman"/>
          <w:b/>
          <w:bCs/>
          <w:sz w:val="24"/>
          <w:szCs w:val="24"/>
          <w:lang w:eastAsia="el-GR"/>
        </w:rPr>
        <w:t>21</w:t>
      </w:r>
    </w:p>
    <w:p w14:paraId="7FFD57BF" w14:textId="37EFBD89" w:rsidR="00411D45" w:rsidRPr="005B0CFF" w:rsidRDefault="00411D45" w:rsidP="00411D45">
      <w:pPr>
        <w:spacing w:after="0" w:line="360" w:lineRule="auto"/>
        <w:jc w:val="center"/>
        <w:rPr>
          <w:rFonts w:ascii="Times New Roman" w:eastAsia="Times New Roman" w:hAnsi="Times New Roman" w:cs="Times New Roman"/>
          <w:b/>
          <w:bCs/>
          <w:sz w:val="24"/>
          <w:szCs w:val="24"/>
          <w:lang w:eastAsia="el-GR"/>
        </w:rPr>
      </w:pPr>
      <w:r w:rsidRPr="005B0CFF">
        <w:rPr>
          <w:rFonts w:ascii="Times New Roman" w:eastAsia="Times New Roman" w:hAnsi="Times New Roman" w:cs="Times New Roman"/>
          <w:b/>
          <w:bCs/>
          <w:sz w:val="24"/>
          <w:szCs w:val="24"/>
          <w:lang w:eastAsia="el-GR"/>
        </w:rPr>
        <w:t>Πρόβλεψη επόμενο</w:t>
      </w:r>
      <w:r w:rsidR="000D303E" w:rsidRPr="005B0CFF">
        <w:rPr>
          <w:rFonts w:ascii="Times New Roman" w:eastAsia="Times New Roman" w:hAnsi="Times New Roman" w:cs="Times New Roman"/>
          <w:b/>
          <w:bCs/>
          <w:sz w:val="24"/>
          <w:szCs w:val="24"/>
          <w:lang w:eastAsia="el-GR"/>
        </w:rPr>
        <w:t>υ</w:t>
      </w:r>
      <w:r w:rsidRPr="005B0CFF">
        <w:rPr>
          <w:rFonts w:ascii="Times New Roman" w:eastAsia="Times New Roman" w:hAnsi="Times New Roman" w:cs="Times New Roman"/>
          <w:b/>
          <w:bCs/>
          <w:sz w:val="24"/>
          <w:szCs w:val="24"/>
          <w:lang w:eastAsia="el-GR"/>
        </w:rPr>
        <w:t xml:space="preserve"> εξαμήνου</w:t>
      </w:r>
    </w:p>
    <w:p w14:paraId="071BA6EC" w14:textId="379460B5" w:rsidR="00FA1482" w:rsidRPr="00DF32C4" w:rsidRDefault="00411D45" w:rsidP="00DF32C4">
      <w:pPr>
        <w:spacing w:after="0" w:line="360" w:lineRule="auto"/>
        <w:jc w:val="center"/>
        <w:rPr>
          <w:rFonts w:ascii="Times New Roman" w:eastAsia="Times New Roman" w:hAnsi="Times New Roman" w:cs="Times New Roman"/>
          <w:b/>
          <w:bCs/>
          <w:sz w:val="24"/>
          <w:szCs w:val="24"/>
          <w:lang w:eastAsia="el-GR"/>
        </w:rPr>
      </w:pPr>
      <w:r w:rsidRPr="005B0CFF">
        <w:rPr>
          <w:rFonts w:ascii="Times New Roman" w:eastAsia="Times New Roman" w:hAnsi="Times New Roman" w:cs="Times New Roman"/>
          <w:b/>
          <w:bCs/>
          <w:sz w:val="24"/>
          <w:szCs w:val="24"/>
          <w:lang w:eastAsia="el-GR"/>
        </w:rPr>
        <w:t>Συγκεντρωτικό γράφημα</w:t>
      </w:r>
    </w:p>
    <w:p w14:paraId="740446ED" w14:textId="08CB7ECD" w:rsidR="00FA1482" w:rsidRDefault="00FA1482" w:rsidP="00761263">
      <w:pPr>
        <w:spacing w:after="0" w:line="360" w:lineRule="auto"/>
        <w:jc w:val="both"/>
        <w:rPr>
          <w:rFonts w:ascii="Times New Roman" w:eastAsia="Times New Roman" w:hAnsi="Times New Roman" w:cs="Times New Roman"/>
          <w:sz w:val="24"/>
          <w:szCs w:val="24"/>
          <w:lang w:eastAsia="el-GR"/>
        </w:rPr>
      </w:pPr>
      <w:r w:rsidRPr="00FA1482">
        <w:rPr>
          <w:rFonts w:ascii="Times New Roman" w:eastAsia="Times New Roman" w:hAnsi="Times New Roman" w:cs="Times New Roman"/>
          <w:noProof/>
          <w:sz w:val="24"/>
          <w:szCs w:val="24"/>
          <w:lang w:val="en-US"/>
        </w:rPr>
        <w:drawing>
          <wp:inline distT="0" distB="0" distL="0" distR="0" wp14:anchorId="01CC43A3" wp14:editId="48487BA1">
            <wp:extent cx="6570980" cy="3194685"/>
            <wp:effectExtent l="0" t="0" r="1270" b="5715"/>
            <wp:docPr id="47" name="Γράφημα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05BDF6" w14:textId="77777777" w:rsidR="00FA1482" w:rsidRDefault="00FA1482" w:rsidP="00761263">
      <w:pPr>
        <w:spacing w:after="0" w:line="360" w:lineRule="auto"/>
        <w:jc w:val="both"/>
        <w:rPr>
          <w:rFonts w:ascii="Times New Roman" w:eastAsia="Times New Roman" w:hAnsi="Times New Roman" w:cs="Times New Roman"/>
          <w:sz w:val="24"/>
          <w:szCs w:val="24"/>
          <w:lang w:eastAsia="el-GR"/>
        </w:rPr>
      </w:pPr>
    </w:p>
    <w:p w14:paraId="0C05841D" w14:textId="77777777" w:rsidR="0017211B" w:rsidRPr="00E36734" w:rsidRDefault="0017211B" w:rsidP="00761263">
      <w:pPr>
        <w:spacing w:after="0" w:line="360" w:lineRule="auto"/>
        <w:rPr>
          <w:rFonts w:ascii="Times New Roman" w:eastAsia="Times New Roman" w:hAnsi="Times New Roman" w:cs="Times New Roman"/>
          <w:noProof/>
          <w:sz w:val="24"/>
          <w:szCs w:val="24"/>
          <w:lang w:eastAsia="el-GR"/>
        </w:rPr>
      </w:pPr>
    </w:p>
    <w:p w14:paraId="6F4460B9" w14:textId="77777777" w:rsidR="00A9257F" w:rsidRPr="00E36734" w:rsidRDefault="00A9257F" w:rsidP="00761263">
      <w:pPr>
        <w:pStyle w:val="a5"/>
        <w:numPr>
          <w:ilvl w:val="0"/>
          <w:numId w:val="1"/>
        </w:num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b/>
          <w:sz w:val="24"/>
          <w:szCs w:val="24"/>
          <w:u w:val="single"/>
          <w:lang w:eastAsia="el-GR"/>
        </w:rPr>
        <w:t>ΥΠΟΧΡΕΩΣΕΙΣ ΚΑΙ ΟΦΕΙΛΕΣ ΕΠΙΧΕΙΡΗΣΕΩΝ</w:t>
      </w:r>
    </w:p>
    <w:p w14:paraId="158C4339" w14:textId="150193D8" w:rsidR="009F6718" w:rsidRPr="009F5ACE" w:rsidRDefault="00243187" w:rsidP="0021116B">
      <w:pPr>
        <w:spacing w:after="0" w:line="360" w:lineRule="auto"/>
        <w:jc w:val="both"/>
        <w:rPr>
          <w:rFonts w:ascii="Times New Roman" w:eastAsia="Times New Roman" w:hAnsi="Times New Roman" w:cs="Times New Roman"/>
          <w:sz w:val="24"/>
          <w:szCs w:val="24"/>
          <w:lang w:eastAsia="el-GR"/>
        </w:rPr>
      </w:pPr>
      <w:bookmarkStart w:id="18" w:name="_Hlk68090256"/>
      <w:r>
        <w:rPr>
          <w:rFonts w:ascii="Times New Roman" w:eastAsia="Times New Roman" w:hAnsi="Times New Roman" w:cs="Times New Roman"/>
          <w:sz w:val="24"/>
          <w:szCs w:val="24"/>
          <w:lang w:eastAsia="el-GR"/>
        </w:rPr>
        <w:t>Μειωμένα είναι τα</w:t>
      </w:r>
      <w:r w:rsidR="0021116B" w:rsidRPr="009F5ACE">
        <w:rPr>
          <w:rFonts w:ascii="Times New Roman" w:eastAsia="Times New Roman" w:hAnsi="Times New Roman" w:cs="Times New Roman"/>
          <w:sz w:val="24"/>
          <w:szCs w:val="24"/>
          <w:lang w:eastAsia="el-GR"/>
        </w:rPr>
        <w:t xml:space="preserve"> ποσοστά των επιχειρήσεων που </w:t>
      </w:r>
      <w:r w:rsidR="00971CF2" w:rsidRPr="009F5ACE">
        <w:rPr>
          <w:rFonts w:ascii="Times New Roman" w:eastAsia="Times New Roman" w:hAnsi="Times New Roman" w:cs="Times New Roman"/>
          <w:sz w:val="24"/>
          <w:szCs w:val="24"/>
          <w:lang w:eastAsia="el-GR"/>
        </w:rPr>
        <w:t xml:space="preserve">δηλώνουν πως </w:t>
      </w:r>
      <w:r w:rsidR="0021116B" w:rsidRPr="009F5ACE">
        <w:rPr>
          <w:rFonts w:ascii="Times New Roman" w:eastAsia="Times New Roman" w:hAnsi="Times New Roman" w:cs="Times New Roman"/>
          <w:sz w:val="24"/>
          <w:szCs w:val="24"/>
          <w:lang w:eastAsia="el-GR"/>
        </w:rPr>
        <w:t>έχουν</w:t>
      </w:r>
      <w:r w:rsidR="00AB1C80" w:rsidRPr="009F5ACE">
        <w:rPr>
          <w:rFonts w:ascii="Times New Roman" w:eastAsia="Times New Roman" w:hAnsi="Times New Roman" w:cs="Times New Roman"/>
          <w:sz w:val="24"/>
          <w:szCs w:val="24"/>
          <w:lang w:eastAsia="el-GR"/>
        </w:rPr>
        <w:t xml:space="preserve"> ληξιπρόθεσμες οφειλές</w:t>
      </w:r>
      <w:r>
        <w:rPr>
          <w:rFonts w:ascii="Times New Roman" w:eastAsia="Times New Roman" w:hAnsi="Times New Roman" w:cs="Times New Roman"/>
          <w:sz w:val="24"/>
          <w:szCs w:val="24"/>
          <w:lang w:eastAsia="el-GR"/>
        </w:rPr>
        <w:t xml:space="preserve"> </w:t>
      </w:r>
      <w:r w:rsidR="009F5ACE" w:rsidRPr="009F5ACE">
        <w:rPr>
          <w:rFonts w:ascii="Times New Roman" w:eastAsia="Times New Roman" w:hAnsi="Times New Roman" w:cs="Times New Roman"/>
          <w:sz w:val="24"/>
          <w:szCs w:val="24"/>
          <w:lang w:eastAsia="el-GR"/>
        </w:rPr>
        <w:t>σε όλες τις</w:t>
      </w:r>
      <w:r w:rsidR="00A108EE" w:rsidRPr="009F5ACE">
        <w:rPr>
          <w:rFonts w:ascii="Times New Roman" w:eastAsia="Times New Roman" w:hAnsi="Times New Roman" w:cs="Times New Roman"/>
          <w:sz w:val="24"/>
          <w:szCs w:val="24"/>
          <w:lang w:eastAsia="el-GR"/>
        </w:rPr>
        <w:t xml:space="preserve"> κατηγορίες υποχρεώσεων</w:t>
      </w:r>
      <w:r w:rsidR="00FA5CFC">
        <w:rPr>
          <w:rFonts w:ascii="Times New Roman" w:eastAsia="Times New Roman" w:hAnsi="Times New Roman" w:cs="Times New Roman"/>
          <w:sz w:val="24"/>
          <w:szCs w:val="24"/>
          <w:lang w:eastAsia="el-GR"/>
        </w:rPr>
        <w:t>,</w:t>
      </w:r>
      <w:r w:rsidR="0021116B" w:rsidRPr="009F5ACE">
        <w:rPr>
          <w:rFonts w:ascii="Times New Roman" w:eastAsia="Times New Roman" w:hAnsi="Times New Roman" w:cs="Times New Roman"/>
          <w:sz w:val="24"/>
          <w:szCs w:val="24"/>
          <w:lang w:eastAsia="el-GR"/>
        </w:rPr>
        <w:t xml:space="preserve"> </w:t>
      </w:r>
      <w:r w:rsidR="002103D0" w:rsidRPr="009F5ACE">
        <w:rPr>
          <w:rFonts w:ascii="Times New Roman" w:eastAsia="Times New Roman" w:hAnsi="Times New Roman" w:cs="Times New Roman"/>
          <w:sz w:val="24"/>
          <w:szCs w:val="24"/>
          <w:lang w:eastAsia="el-GR"/>
        </w:rPr>
        <w:t>σε σύγκριση με</w:t>
      </w:r>
      <w:r w:rsidR="0021116B" w:rsidRPr="009F5ACE">
        <w:rPr>
          <w:rFonts w:ascii="Times New Roman" w:eastAsia="Times New Roman" w:hAnsi="Times New Roman" w:cs="Times New Roman"/>
          <w:sz w:val="24"/>
          <w:szCs w:val="24"/>
          <w:lang w:eastAsia="el-GR"/>
        </w:rPr>
        <w:t xml:space="preserve"> εκείνα </w:t>
      </w:r>
      <w:r w:rsidR="009F5ACE" w:rsidRPr="009F5ACE">
        <w:rPr>
          <w:rFonts w:ascii="Times New Roman" w:eastAsia="Times New Roman" w:hAnsi="Times New Roman" w:cs="Times New Roman"/>
          <w:sz w:val="24"/>
          <w:szCs w:val="24"/>
          <w:lang w:eastAsia="el-GR"/>
        </w:rPr>
        <w:t>των προηγούμενων εξαμηνιαίων ερευνών του ΙΜΕ ΓΣΕΒΕΕ</w:t>
      </w:r>
      <w:r w:rsidR="009F6718" w:rsidRPr="009F5ACE">
        <w:rPr>
          <w:rFonts w:ascii="Times New Roman" w:eastAsia="Times New Roman" w:hAnsi="Times New Roman" w:cs="Times New Roman"/>
          <w:sz w:val="24"/>
          <w:szCs w:val="24"/>
          <w:lang w:eastAsia="el-GR"/>
        </w:rPr>
        <w:t xml:space="preserve"> (</w:t>
      </w:r>
      <w:r w:rsidR="009F5ACE" w:rsidRPr="009F5ACE">
        <w:rPr>
          <w:rFonts w:ascii="Times New Roman" w:eastAsia="Times New Roman" w:hAnsi="Times New Roman" w:cs="Times New Roman"/>
          <w:sz w:val="24"/>
          <w:szCs w:val="24"/>
          <w:lang w:eastAsia="el-GR"/>
        </w:rPr>
        <w:t xml:space="preserve">Φεβρουάριος 2021 και </w:t>
      </w:r>
      <w:r w:rsidR="009F6718" w:rsidRPr="009F5ACE">
        <w:rPr>
          <w:rFonts w:ascii="Times New Roman" w:eastAsia="Times New Roman" w:hAnsi="Times New Roman" w:cs="Times New Roman"/>
          <w:sz w:val="24"/>
          <w:szCs w:val="24"/>
          <w:lang w:eastAsia="el-GR"/>
        </w:rPr>
        <w:t>Ιούλιος 2020)</w:t>
      </w:r>
      <w:r w:rsidR="00855AED">
        <w:rPr>
          <w:rFonts w:ascii="Times New Roman" w:eastAsia="Times New Roman" w:hAnsi="Times New Roman" w:cs="Times New Roman"/>
          <w:sz w:val="24"/>
          <w:szCs w:val="24"/>
          <w:lang w:eastAsia="el-GR"/>
        </w:rPr>
        <w:t xml:space="preserve"> (Γράφημα 22)</w:t>
      </w:r>
      <w:r w:rsidR="0021116B" w:rsidRPr="009F5ACE">
        <w:rPr>
          <w:rFonts w:ascii="Times New Roman" w:eastAsia="Times New Roman" w:hAnsi="Times New Roman" w:cs="Times New Roman"/>
          <w:sz w:val="24"/>
          <w:szCs w:val="24"/>
          <w:lang w:eastAsia="el-GR"/>
        </w:rPr>
        <w:t xml:space="preserve">. </w:t>
      </w:r>
      <w:r w:rsidR="009F6718" w:rsidRPr="009F5ACE">
        <w:rPr>
          <w:rFonts w:ascii="Times New Roman" w:eastAsia="Times New Roman" w:hAnsi="Times New Roman" w:cs="Times New Roman"/>
          <w:sz w:val="24"/>
          <w:szCs w:val="24"/>
          <w:lang w:eastAsia="el-GR"/>
        </w:rPr>
        <w:t xml:space="preserve">Οι επιχειρήσεις που αντιμετωπίζουν μεγαλύτερα προβλήματα αποπληρωμής των υποχρεώσεων τους παρατηρούνται περισσότερο </w:t>
      </w:r>
      <w:r w:rsidR="009F5ACE" w:rsidRPr="009F5ACE">
        <w:rPr>
          <w:rFonts w:ascii="Times New Roman" w:eastAsia="Times New Roman" w:hAnsi="Times New Roman" w:cs="Times New Roman"/>
          <w:sz w:val="24"/>
          <w:szCs w:val="24"/>
          <w:lang w:eastAsia="el-GR"/>
        </w:rPr>
        <w:t xml:space="preserve">στις μικρότερες με βάση τον </w:t>
      </w:r>
      <w:r w:rsidR="00FA5CFC">
        <w:rPr>
          <w:rFonts w:ascii="Times New Roman" w:hAnsi="Times New Roman" w:cs="Times New Roman"/>
          <w:sz w:val="24"/>
          <w:szCs w:val="24"/>
        </w:rPr>
        <w:t>κύκλο εργασιών</w:t>
      </w:r>
      <w:r w:rsidR="009F5ACE" w:rsidRPr="009F5ACE">
        <w:rPr>
          <w:rFonts w:ascii="Times New Roman" w:eastAsia="Times New Roman" w:hAnsi="Times New Roman" w:cs="Times New Roman"/>
          <w:sz w:val="24"/>
          <w:szCs w:val="24"/>
          <w:lang w:eastAsia="el-GR"/>
        </w:rPr>
        <w:t xml:space="preserve"> επιχειρήσεις (έως 50.000 €)</w:t>
      </w:r>
      <w:r w:rsidR="009F6718" w:rsidRPr="009F5ACE">
        <w:rPr>
          <w:rFonts w:ascii="Times New Roman" w:eastAsia="Times New Roman" w:hAnsi="Times New Roman" w:cs="Times New Roman"/>
          <w:sz w:val="24"/>
          <w:szCs w:val="24"/>
          <w:lang w:eastAsia="el-GR"/>
        </w:rPr>
        <w:t>, έναντι των υπόλοιπων.</w:t>
      </w:r>
    </w:p>
    <w:p w14:paraId="27904093" w14:textId="0F6A8690" w:rsidR="00FF742A" w:rsidRPr="006D7F35" w:rsidRDefault="009F5ACE" w:rsidP="00FF742A">
      <w:pPr>
        <w:spacing w:after="0" w:line="360" w:lineRule="auto"/>
        <w:jc w:val="both"/>
        <w:rPr>
          <w:rFonts w:ascii="Times New Roman" w:eastAsia="Times New Roman" w:hAnsi="Times New Roman" w:cs="Times New Roman"/>
          <w:sz w:val="24"/>
          <w:szCs w:val="24"/>
          <w:highlight w:val="yellow"/>
          <w:lang w:eastAsia="el-GR"/>
        </w:rPr>
      </w:pPr>
      <w:r w:rsidRPr="00243187">
        <w:rPr>
          <w:rFonts w:ascii="Times New Roman" w:eastAsia="Times New Roman" w:hAnsi="Times New Roman" w:cs="Times New Roman"/>
          <w:sz w:val="24"/>
          <w:szCs w:val="24"/>
          <w:lang w:eastAsia="el-GR"/>
        </w:rPr>
        <w:t>Επιπλέον</w:t>
      </w:r>
      <w:r w:rsidR="00FA5CFC">
        <w:rPr>
          <w:rFonts w:ascii="Times New Roman" w:eastAsia="Times New Roman" w:hAnsi="Times New Roman" w:cs="Times New Roman"/>
          <w:sz w:val="24"/>
          <w:szCs w:val="24"/>
          <w:lang w:eastAsia="el-GR"/>
        </w:rPr>
        <w:t>,</w:t>
      </w:r>
      <w:r w:rsidRPr="00243187">
        <w:rPr>
          <w:rFonts w:ascii="Times New Roman" w:eastAsia="Times New Roman" w:hAnsi="Times New Roman" w:cs="Times New Roman"/>
          <w:sz w:val="24"/>
          <w:szCs w:val="24"/>
          <w:lang w:eastAsia="el-GR"/>
        </w:rPr>
        <w:t xml:space="preserve"> ό</w:t>
      </w:r>
      <w:r w:rsidR="00AB1C80" w:rsidRPr="00243187">
        <w:rPr>
          <w:rFonts w:ascii="Times New Roman" w:eastAsia="Times New Roman" w:hAnsi="Times New Roman" w:cs="Times New Roman"/>
          <w:sz w:val="24"/>
          <w:szCs w:val="24"/>
          <w:lang w:eastAsia="el-GR"/>
        </w:rPr>
        <w:t xml:space="preserve">που έχουν ληφθεί </w:t>
      </w:r>
      <w:r w:rsidR="0021116B" w:rsidRPr="00243187">
        <w:rPr>
          <w:rFonts w:ascii="Times New Roman" w:eastAsia="Times New Roman" w:hAnsi="Times New Roman" w:cs="Times New Roman"/>
          <w:sz w:val="24"/>
          <w:szCs w:val="24"/>
          <w:lang w:eastAsia="el-GR"/>
        </w:rPr>
        <w:t xml:space="preserve">αποτελεσματικά </w:t>
      </w:r>
      <w:r w:rsidR="00AB1C80" w:rsidRPr="00243187">
        <w:rPr>
          <w:rFonts w:ascii="Times New Roman" w:eastAsia="Times New Roman" w:hAnsi="Times New Roman" w:cs="Times New Roman"/>
          <w:sz w:val="24"/>
          <w:szCs w:val="24"/>
          <w:lang w:eastAsia="el-GR"/>
        </w:rPr>
        <w:t xml:space="preserve">μέτρα για την ανακούφιση των επιχειρήσεων οι </w:t>
      </w:r>
      <w:r w:rsidR="0021116B" w:rsidRPr="00243187">
        <w:rPr>
          <w:rFonts w:ascii="Times New Roman" w:eastAsia="Times New Roman" w:hAnsi="Times New Roman" w:cs="Times New Roman"/>
          <w:sz w:val="24"/>
          <w:szCs w:val="24"/>
          <w:lang w:eastAsia="el-GR"/>
        </w:rPr>
        <w:t xml:space="preserve">ληξιπρόθεσμες </w:t>
      </w:r>
      <w:r w:rsidR="00AB1C80" w:rsidRPr="00243187">
        <w:rPr>
          <w:rFonts w:ascii="Times New Roman" w:eastAsia="Times New Roman" w:hAnsi="Times New Roman" w:cs="Times New Roman"/>
          <w:sz w:val="24"/>
          <w:szCs w:val="24"/>
          <w:lang w:eastAsia="el-GR"/>
        </w:rPr>
        <w:t xml:space="preserve">οφειλές φαίνεται πως έχουν </w:t>
      </w:r>
      <w:bookmarkEnd w:id="18"/>
      <w:r w:rsidRPr="00243187">
        <w:rPr>
          <w:rFonts w:ascii="Times New Roman" w:eastAsia="Times New Roman" w:hAnsi="Times New Roman" w:cs="Times New Roman"/>
          <w:sz w:val="24"/>
          <w:szCs w:val="24"/>
          <w:lang w:eastAsia="el-GR"/>
        </w:rPr>
        <w:t>περιοριστεί</w:t>
      </w:r>
      <w:r w:rsidR="00AB1C80" w:rsidRPr="00243187">
        <w:rPr>
          <w:rFonts w:ascii="Times New Roman" w:eastAsia="Times New Roman" w:hAnsi="Times New Roman" w:cs="Times New Roman"/>
          <w:sz w:val="24"/>
          <w:szCs w:val="24"/>
          <w:lang w:eastAsia="el-GR"/>
        </w:rPr>
        <w:t xml:space="preserve">. </w:t>
      </w:r>
      <w:r w:rsidR="009F6718" w:rsidRPr="00243187">
        <w:rPr>
          <w:rFonts w:ascii="Times New Roman" w:eastAsia="Times New Roman" w:hAnsi="Times New Roman" w:cs="Times New Roman"/>
          <w:sz w:val="24"/>
          <w:szCs w:val="24"/>
          <w:lang w:eastAsia="el-GR"/>
        </w:rPr>
        <w:t xml:space="preserve">Ειδικότερα, όσον αφορά τα ενοίκια, το ποσοστό των επιχειρήσεων που έχει καθυστερημένες οφειλές είναι μειωμένο σε σχέση </w:t>
      </w:r>
      <w:r w:rsidR="00243187" w:rsidRPr="00243187">
        <w:rPr>
          <w:rFonts w:ascii="Times New Roman" w:eastAsia="Times New Roman" w:hAnsi="Times New Roman" w:cs="Times New Roman"/>
          <w:sz w:val="24"/>
          <w:szCs w:val="24"/>
          <w:lang w:eastAsia="el-GR"/>
        </w:rPr>
        <w:t>με τις προηγούμενες έρευνες</w:t>
      </w:r>
      <w:r w:rsidR="009F6718" w:rsidRPr="00243187">
        <w:rPr>
          <w:rFonts w:ascii="Times New Roman" w:eastAsia="Times New Roman" w:hAnsi="Times New Roman" w:cs="Times New Roman"/>
          <w:sz w:val="24"/>
          <w:szCs w:val="24"/>
          <w:lang w:eastAsia="el-GR"/>
        </w:rPr>
        <w:t xml:space="preserve"> του ΙΜΕ ΓΣΕΒΕΕ προσεγγίζοντας τα επίπεδα της προ Covid-19 περιόδου. Συγκεκριμένα</w:t>
      </w:r>
      <w:r w:rsidR="00FA5CFC">
        <w:rPr>
          <w:rFonts w:ascii="Times New Roman" w:eastAsia="Times New Roman" w:hAnsi="Times New Roman" w:cs="Times New Roman"/>
          <w:sz w:val="24"/>
          <w:szCs w:val="24"/>
          <w:lang w:eastAsia="el-GR"/>
        </w:rPr>
        <w:t>,</w:t>
      </w:r>
      <w:r w:rsidR="009F6718" w:rsidRPr="00243187">
        <w:rPr>
          <w:rFonts w:ascii="Times New Roman" w:eastAsia="Times New Roman" w:hAnsi="Times New Roman" w:cs="Times New Roman"/>
          <w:sz w:val="24"/>
          <w:szCs w:val="24"/>
          <w:lang w:eastAsia="el-GR"/>
        </w:rPr>
        <w:t xml:space="preserve"> το </w:t>
      </w:r>
      <w:r w:rsidR="00243187" w:rsidRPr="00243187">
        <w:rPr>
          <w:rFonts w:ascii="Times New Roman" w:eastAsia="Times New Roman" w:hAnsi="Times New Roman" w:cs="Times New Roman"/>
          <w:sz w:val="24"/>
          <w:szCs w:val="24"/>
          <w:lang w:eastAsia="el-GR"/>
        </w:rPr>
        <w:t>19,5</w:t>
      </w:r>
      <w:r w:rsidR="009F6718" w:rsidRPr="00243187">
        <w:rPr>
          <w:rFonts w:ascii="Times New Roman" w:eastAsia="Times New Roman" w:hAnsi="Times New Roman" w:cs="Times New Roman"/>
          <w:sz w:val="24"/>
          <w:szCs w:val="24"/>
          <w:lang w:eastAsia="el-GR"/>
        </w:rPr>
        <w:t xml:space="preserve">% των επιχειρήσεων που </w:t>
      </w:r>
      <w:r w:rsidR="00243187" w:rsidRPr="00243187">
        <w:rPr>
          <w:rFonts w:ascii="Times New Roman" w:eastAsia="Times New Roman" w:hAnsi="Times New Roman" w:cs="Times New Roman"/>
          <w:sz w:val="24"/>
          <w:szCs w:val="24"/>
          <w:lang w:eastAsia="el-GR"/>
        </w:rPr>
        <w:t>έχουν ενοίκιο</w:t>
      </w:r>
      <w:r w:rsidR="009F6718" w:rsidRPr="00243187">
        <w:rPr>
          <w:rFonts w:ascii="Times New Roman" w:eastAsia="Times New Roman" w:hAnsi="Times New Roman" w:cs="Times New Roman"/>
          <w:sz w:val="24"/>
          <w:szCs w:val="24"/>
          <w:lang w:eastAsia="el-GR"/>
        </w:rPr>
        <w:t xml:space="preserve"> δήλωσαν πως έχουν καθυστερημένες οφειλές έναντι του </w:t>
      </w:r>
      <w:r w:rsidR="00243187" w:rsidRPr="00243187">
        <w:rPr>
          <w:rFonts w:ascii="Times New Roman" w:eastAsia="Times New Roman" w:hAnsi="Times New Roman" w:cs="Times New Roman"/>
          <w:sz w:val="24"/>
          <w:szCs w:val="24"/>
          <w:lang w:eastAsia="el-GR"/>
        </w:rPr>
        <w:t xml:space="preserve">23% της έρευνας του Φεβρουαρίου του 2021 και του </w:t>
      </w:r>
      <w:r w:rsidR="009F6718" w:rsidRPr="00243187">
        <w:rPr>
          <w:rFonts w:ascii="Times New Roman" w:eastAsia="Times New Roman" w:hAnsi="Times New Roman" w:cs="Times New Roman"/>
          <w:sz w:val="24"/>
          <w:szCs w:val="24"/>
          <w:lang w:eastAsia="el-GR"/>
        </w:rPr>
        <w:t xml:space="preserve">30% της έρευνας του Ιουλίου του 2020. Φαίνεται </w:t>
      </w:r>
      <w:r w:rsidR="00243187" w:rsidRPr="00243187">
        <w:rPr>
          <w:rFonts w:ascii="Times New Roman" w:eastAsia="Times New Roman" w:hAnsi="Times New Roman" w:cs="Times New Roman"/>
          <w:sz w:val="24"/>
          <w:szCs w:val="24"/>
          <w:lang w:eastAsia="el-GR"/>
        </w:rPr>
        <w:t xml:space="preserve">συνεπώς </w:t>
      </w:r>
      <w:r w:rsidR="009F6718" w:rsidRPr="00243187">
        <w:rPr>
          <w:rFonts w:ascii="Times New Roman" w:eastAsia="Times New Roman" w:hAnsi="Times New Roman" w:cs="Times New Roman"/>
          <w:sz w:val="24"/>
          <w:szCs w:val="24"/>
          <w:lang w:eastAsia="el-GR"/>
        </w:rPr>
        <w:t xml:space="preserve">πως </w:t>
      </w:r>
      <w:r w:rsidR="00243187" w:rsidRPr="00243187">
        <w:rPr>
          <w:rFonts w:ascii="Times New Roman" w:eastAsia="Times New Roman" w:hAnsi="Times New Roman" w:cs="Times New Roman"/>
          <w:sz w:val="24"/>
          <w:szCs w:val="24"/>
          <w:lang w:eastAsia="el-GR"/>
        </w:rPr>
        <w:t>το μέτρο μείωσης/</w:t>
      </w:r>
      <w:r w:rsidR="009F6718" w:rsidRPr="00243187">
        <w:rPr>
          <w:rFonts w:ascii="Times New Roman" w:eastAsia="Times New Roman" w:hAnsi="Times New Roman" w:cs="Times New Roman"/>
          <w:sz w:val="24"/>
          <w:szCs w:val="24"/>
          <w:lang w:eastAsia="el-GR"/>
        </w:rPr>
        <w:t xml:space="preserve">απαλλαγής ενοικίου </w:t>
      </w:r>
      <w:r w:rsidR="00243187" w:rsidRPr="00243187">
        <w:rPr>
          <w:rFonts w:ascii="Times New Roman" w:eastAsia="Times New Roman" w:hAnsi="Times New Roman" w:cs="Times New Roman"/>
          <w:sz w:val="24"/>
          <w:szCs w:val="24"/>
          <w:lang w:eastAsia="el-GR"/>
        </w:rPr>
        <w:t>οδήγησε</w:t>
      </w:r>
      <w:r w:rsidR="009F6718" w:rsidRPr="00243187">
        <w:rPr>
          <w:rFonts w:ascii="Times New Roman" w:eastAsia="Times New Roman" w:hAnsi="Times New Roman" w:cs="Times New Roman"/>
          <w:sz w:val="24"/>
          <w:szCs w:val="24"/>
          <w:lang w:eastAsia="el-GR"/>
        </w:rPr>
        <w:t xml:space="preserve"> σε μείωση των οφειλετών. </w:t>
      </w:r>
      <w:r w:rsidR="00FF742A" w:rsidRPr="00243187">
        <w:rPr>
          <w:rFonts w:ascii="Times New Roman" w:eastAsia="Times New Roman" w:hAnsi="Times New Roman" w:cs="Times New Roman"/>
          <w:sz w:val="24"/>
          <w:szCs w:val="24"/>
          <w:lang w:eastAsia="el-GR"/>
        </w:rPr>
        <w:t>Ανάλογη είναι η εικόνα και ως προς τις ληξιπρόθεσμες οφειλές προς το πρώην ΙΚΑ, όπου καταγράφεται μείωση των οφειλετών</w:t>
      </w:r>
      <w:r w:rsidR="00243187" w:rsidRPr="00243187">
        <w:rPr>
          <w:rFonts w:ascii="Times New Roman" w:eastAsia="Times New Roman" w:hAnsi="Times New Roman" w:cs="Times New Roman"/>
          <w:sz w:val="24"/>
          <w:szCs w:val="24"/>
          <w:lang w:eastAsia="el-GR"/>
        </w:rPr>
        <w:t xml:space="preserve">. Ειδικότερα το 10,2% δήλωσε πως έχει ληξιπρόθεσμες οφειλές προς το πρώην ΙΚΑ, έναντι του 13,1% που ήταν το Φεβρουάριο του 2021 και του 16,9% τον Ιούλιο του 2020. Η μείωση των οφειλετών σε επίπεδα </w:t>
      </w:r>
      <w:r w:rsidR="00243187" w:rsidRPr="00243187">
        <w:rPr>
          <w:rFonts w:ascii="Times New Roman" w:eastAsia="Times New Roman" w:hAnsi="Times New Roman" w:cs="Times New Roman"/>
          <w:sz w:val="24"/>
          <w:szCs w:val="24"/>
          <w:lang w:eastAsia="el-GR"/>
        </w:rPr>
        <w:lastRenderedPageBreak/>
        <w:t xml:space="preserve">προ πανδημίας πιθανότατα οφείλεται </w:t>
      </w:r>
      <w:r w:rsidR="00FF742A" w:rsidRPr="00243187">
        <w:rPr>
          <w:rFonts w:ascii="Times New Roman" w:eastAsia="Times New Roman" w:hAnsi="Times New Roman" w:cs="Times New Roman"/>
          <w:sz w:val="24"/>
          <w:szCs w:val="24"/>
          <w:lang w:eastAsia="el-GR"/>
        </w:rPr>
        <w:t xml:space="preserve">στα μέτρα στήριξης της απασχόλησης που έχουν ληφθεί και στα οποία προβλέπεται πλήρης κάλυψη των ασφαλιστικών εισφορών των εργαζομένων από το Δημόσιο. </w:t>
      </w:r>
    </w:p>
    <w:p w14:paraId="7461A2B3" w14:textId="04B8FF4F" w:rsidR="00FF742A" w:rsidRPr="0086101E" w:rsidRDefault="00FF742A" w:rsidP="0021116B">
      <w:pPr>
        <w:spacing w:after="0" w:line="360" w:lineRule="auto"/>
        <w:jc w:val="both"/>
        <w:rPr>
          <w:rFonts w:ascii="Times New Roman" w:eastAsia="Times New Roman" w:hAnsi="Times New Roman" w:cs="Times New Roman"/>
          <w:sz w:val="24"/>
          <w:szCs w:val="24"/>
          <w:lang w:eastAsia="el-GR"/>
        </w:rPr>
      </w:pPr>
      <w:r w:rsidRPr="0086101E">
        <w:rPr>
          <w:rFonts w:ascii="Times New Roman" w:eastAsia="Times New Roman" w:hAnsi="Times New Roman" w:cs="Times New Roman"/>
          <w:sz w:val="24"/>
          <w:szCs w:val="24"/>
          <w:lang w:eastAsia="el-GR"/>
        </w:rPr>
        <w:t>Από την άλλη μεριά</w:t>
      </w:r>
      <w:r w:rsidR="00FA5CFC">
        <w:rPr>
          <w:rFonts w:ascii="Times New Roman" w:eastAsia="Times New Roman" w:hAnsi="Times New Roman" w:cs="Times New Roman"/>
          <w:sz w:val="24"/>
          <w:szCs w:val="24"/>
          <w:lang w:eastAsia="el-GR"/>
        </w:rPr>
        <w:t>,</w:t>
      </w:r>
      <w:r w:rsidRPr="0086101E">
        <w:rPr>
          <w:rFonts w:ascii="Times New Roman" w:eastAsia="Times New Roman" w:hAnsi="Times New Roman" w:cs="Times New Roman"/>
          <w:sz w:val="24"/>
          <w:szCs w:val="24"/>
          <w:lang w:eastAsia="el-GR"/>
        </w:rPr>
        <w:t xml:space="preserve"> όπου δεν έχουν ληφθεί </w:t>
      </w:r>
      <w:proofErr w:type="spellStart"/>
      <w:r w:rsidRPr="0086101E">
        <w:rPr>
          <w:rFonts w:ascii="Times New Roman" w:eastAsia="Times New Roman" w:hAnsi="Times New Roman" w:cs="Times New Roman"/>
          <w:sz w:val="24"/>
          <w:szCs w:val="24"/>
          <w:lang w:eastAsia="el-GR"/>
        </w:rPr>
        <w:t>στοχευμένα</w:t>
      </w:r>
      <w:proofErr w:type="spellEnd"/>
      <w:r w:rsidRPr="0086101E">
        <w:rPr>
          <w:rFonts w:ascii="Times New Roman" w:eastAsia="Times New Roman" w:hAnsi="Times New Roman" w:cs="Times New Roman"/>
          <w:sz w:val="24"/>
          <w:szCs w:val="24"/>
          <w:lang w:eastAsia="el-GR"/>
        </w:rPr>
        <w:t xml:space="preserve"> ή επαρκή μέτρα στήριξης </w:t>
      </w:r>
      <w:r w:rsidR="0021116B" w:rsidRPr="0086101E">
        <w:rPr>
          <w:rFonts w:ascii="Times New Roman" w:eastAsia="Times New Roman" w:hAnsi="Times New Roman" w:cs="Times New Roman"/>
          <w:sz w:val="24"/>
          <w:szCs w:val="24"/>
          <w:lang w:eastAsia="el-GR"/>
        </w:rPr>
        <w:t>παρατηρούνται υψηλά ποσοστά</w:t>
      </w:r>
      <w:r w:rsidR="00AB1C80" w:rsidRPr="0086101E">
        <w:rPr>
          <w:rFonts w:ascii="Times New Roman" w:eastAsia="Times New Roman" w:hAnsi="Times New Roman" w:cs="Times New Roman"/>
          <w:sz w:val="24"/>
          <w:szCs w:val="24"/>
          <w:lang w:eastAsia="el-GR"/>
        </w:rPr>
        <w:t xml:space="preserve"> μικρών και πολύ μικρών επιχειρήσεων</w:t>
      </w:r>
      <w:r w:rsidR="0021116B" w:rsidRPr="0086101E">
        <w:rPr>
          <w:rFonts w:ascii="Times New Roman" w:eastAsia="Times New Roman" w:hAnsi="Times New Roman" w:cs="Times New Roman"/>
          <w:sz w:val="24"/>
          <w:szCs w:val="24"/>
          <w:lang w:eastAsia="el-GR"/>
        </w:rPr>
        <w:t xml:space="preserve"> που αδυνατούν να ανταπεξέλθουν στις υποχρεώσεις</w:t>
      </w:r>
      <w:r w:rsidR="00D00475" w:rsidRPr="0086101E">
        <w:rPr>
          <w:rFonts w:ascii="Times New Roman" w:eastAsia="Times New Roman" w:hAnsi="Times New Roman" w:cs="Times New Roman"/>
          <w:sz w:val="24"/>
          <w:szCs w:val="24"/>
          <w:lang w:eastAsia="el-GR"/>
        </w:rPr>
        <w:t xml:space="preserve"> τους</w:t>
      </w:r>
      <w:r w:rsidR="00AB1C80" w:rsidRPr="0086101E">
        <w:rPr>
          <w:rFonts w:ascii="Times New Roman" w:eastAsia="Times New Roman" w:hAnsi="Times New Roman" w:cs="Times New Roman"/>
          <w:sz w:val="24"/>
          <w:szCs w:val="24"/>
          <w:lang w:eastAsia="el-GR"/>
        </w:rPr>
        <w:t>.</w:t>
      </w:r>
    </w:p>
    <w:p w14:paraId="65AB6310" w14:textId="37C2D72F" w:rsidR="00121769" w:rsidRPr="006D7F35" w:rsidRDefault="0086101E" w:rsidP="0021116B">
      <w:pPr>
        <w:spacing w:after="0" w:line="360" w:lineRule="auto"/>
        <w:jc w:val="both"/>
        <w:rPr>
          <w:rFonts w:ascii="Times New Roman" w:eastAsia="Times New Roman" w:hAnsi="Times New Roman" w:cs="Times New Roman"/>
          <w:sz w:val="24"/>
          <w:szCs w:val="24"/>
          <w:highlight w:val="yellow"/>
          <w:lang w:eastAsia="el-GR"/>
        </w:rPr>
      </w:pPr>
      <w:r w:rsidRPr="0086101E">
        <w:rPr>
          <w:rFonts w:ascii="Times New Roman" w:eastAsia="Times New Roman" w:hAnsi="Times New Roman" w:cs="Times New Roman"/>
          <w:sz w:val="24"/>
          <w:szCs w:val="24"/>
          <w:lang w:eastAsia="el-GR"/>
        </w:rPr>
        <w:t>Συγκεκριμένα</w:t>
      </w:r>
      <w:r w:rsidR="00170F96" w:rsidRPr="0086101E">
        <w:rPr>
          <w:rFonts w:ascii="Times New Roman" w:eastAsia="Times New Roman" w:hAnsi="Times New Roman" w:cs="Times New Roman"/>
          <w:sz w:val="24"/>
          <w:szCs w:val="24"/>
          <w:lang w:eastAsia="el-GR"/>
        </w:rPr>
        <w:t>,</w:t>
      </w:r>
      <w:r w:rsidR="00FF742A" w:rsidRPr="0086101E">
        <w:rPr>
          <w:rFonts w:ascii="Times New Roman" w:eastAsia="Times New Roman" w:hAnsi="Times New Roman" w:cs="Times New Roman"/>
          <w:sz w:val="24"/>
          <w:szCs w:val="24"/>
          <w:lang w:eastAsia="el-GR"/>
        </w:rPr>
        <w:t xml:space="preserve"> </w:t>
      </w:r>
      <w:r w:rsidRPr="0086101E">
        <w:rPr>
          <w:rFonts w:ascii="Times New Roman" w:eastAsia="Times New Roman" w:hAnsi="Times New Roman" w:cs="Times New Roman"/>
          <w:sz w:val="24"/>
          <w:szCs w:val="24"/>
          <w:lang w:eastAsia="el-GR"/>
        </w:rPr>
        <w:t>υψηλά παραμένουν τα ποσοστά των επιχειρήσεων που έχουν ληξιπρόθεσμες οφειλές προς τον πρώην ΟΑΕΕ (23,8%</w:t>
      </w:r>
      <w:r w:rsidR="00FF742A" w:rsidRPr="0086101E">
        <w:rPr>
          <w:rFonts w:ascii="Times New Roman" w:eastAsia="Times New Roman" w:hAnsi="Times New Roman" w:cs="Times New Roman"/>
          <w:sz w:val="24"/>
          <w:szCs w:val="24"/>
          <w:lang w:eastAsia="el-GR"/>
        </w:rPr>
        <w:t xml:space="preserve">). </w:t>
      </w:r>
      <w:r w:rsidR="00121769" w:rsidRPr="0086101E">
        <w:rPr>
          <w:rFonts w:ascii="Times New Roman" w:eastAsia="Times New Roman" w:hAnsi="Times New Roman" w:cs="Times New Roman"/>
          <w:sz w:val="24"/>
          <w:szCs w:val="24"/>
          <w:lang w:eastAsia="el-GR"/>
        </w:rPr>
        <w:t>Μάλιστα</w:t>
      </w:r>
      <w:r w:rsidR="00170F96" w:rsidRPr="0086101E">
        <w:rPr>
          <w:rFonts w:ascii="Times New Roman" w:eastAsia="Times New Roman" w:hAnsi="Times New Roman" w:cs="Times New Roman"/>
          <w:sz w:val="24"/>
          <w:szCs w:val="24"/>
          <w:lang w:eastAsia="el-GR"/>
        </w:rPr>
        <w:t>,</w:t>
      </w:r>
      <w:r w:rsidR="00121769" w:rsidRPr="0086101E">
        <w:rPr>
          <w:rFonts w:ascii="Times New Roman" w:eastAsia="Times New Roman" w:hAnsi="Times New Roman" w:cs="Times New Roman"/>
          <w:sz w:val="24"/>
          <w:szCs w:val="24"/>
          <w:lang w:eastAsia="el-GR"/>
        </w:rPr>
        <w:t xml:space="preserve"> τα ποσοστά αυτά εκτινάσσονται για τις επιχειρήσεις που έχουν αναστείλει τη λειτουργία τους με κρατική εντολή</w:t>
      </w:r>
      <w:r w:rsidRPr="0086101E">
        <w:rPr>
          <w:rFonts w:ascii="Times New Roman" w:eastAsia="Times New Roman" w:hAnsi="Times New Roman" w:cs="Times New Roman"/>
          <w:sz w:val="24"/>
          <w:szCs w:val="24"/>
          <w:lang w:eastAsia="el-GR"/>
        </w:rPr>
        <w:t xml:space="preserve"> (32,1%)</w:t>
      </w:r>
      <w:r w:rsidR="00855AED">
        <w:rPr>
          <w:rFonts w:ascii="Times New Roman" w:eastAsia="Times New Roman" w:hAnsi="Times New Roman" w:cs="Times New Roman"/>
          <w:sz w:val="24"/>
          <w:szCs w:val="24"/>
          <w:lang w:eastAsia="el-GR"/>
        </w:rPr>
        <w:t xml:space="preserve"> καθώς και τις επιχειρήσεις εστίασης (37,1%)</w:t>
      </w:r>
      <w:r w:rsidR="00121769" w:rsidRPr="0086101E">
        <w:rPr>
          <w:rFonts w:ascii="Times New Roman" w:eastAsia="Times New Roman" w:hAnsi="Times New Roman" w:cs="Times New Roman"/>
          <w:sz w:val="24"/>
          <w:szCs w:val="24"/>
          <w:lang w:eastAsia="el-GR"/>
        </w:rPr>
        <w:t xml:space="preserve">. </w:t>
      </w:r>
    </w:p>
    <w:p w14:paraId="251E5230" w14:textId="0078C0DC" w:rsidR="00AB1C80" w:rsidRPr="006D7F35" w:rsidRDefault="00121769" w:rsidP="0021116B">
      <w:pPr>
        <w:spacing w:after="0" w:line="360" w:lineRule="auto"/>
        <w:jc w:val="both"/>
        <w:rPr>
          <w:rFonts w:ascii="Times New Roman" w:eastAsia="Times New Roman" w:hAnsi="Times New Roman" w:cs="Times New Roman"/>
          <w:sz w:val="24"/>
          <w:szCs w:val="24"/>
          <w:highlight w:val="yellow"/>
          <w:lang w:eastAsia="el-GR"/>
        </w:rPr>
      </w:pPr>
      <w:r w:rsidRPr="00855AED">
        <w:rPr>
          <w:rFonts w:ascii="Times New Roman" w:eastAsia="Times New Roman" w:hAnsi="Times New Roman" w:cs="Times New Roman"/>
          <w:sz w:val="24"/>
          <w:szCs w:val="24"/>
          <w:lang w:eastAsia="el-GR"/>
        </w:rPr>
        <w:t xml:space="preserve">Επιπλέον, αν και μειωμένα, παραμένουν υψηλά τα ποσοστά ληξιπρόθεσμων οφειλών για όλες τις υπόλοιπες κατηγορίες. Συγκεκριμένα το </w:t>
      </w:r>
      <w:r w:rsidR="00855AED" w:rsidRPr="00855AED">
        <w:rPr>
          <w:rFonts w:ascii="Times New Roman" w:eastAsia="Times New Roman" w:hAnsi="Times New Roman" w:cs="Times New Roman"/>
          <w:sz w:val="24"/>
          <w:szCs w:val="24"/>
          <w:lang w:eastAsia="el-GR"/>
        </w:rPr>
        <w:t>19,5</w:t>
      </w:r>
      <w:r w:rsidRPr="00855AED">
        <w:rPr>
          <w:rFonts w:ascii="Times New Roman" w:eastAsia="Times New Roman" w:hAnsi="Times New Roman" w:cs="Times New Roman"/>
          <w:sz w:val="24"/>
          <w:szCs w:val="24"/>
          <w:lang w:eastAsia="el-GR"/>
        </w:rPr>
        <w:t xml:space="preserve">% των επιχειρήσεων </w:t>
      </w:r>
      <w:r w:rsidR="00855AED" w:rsidRPr="00855AED">
        <w:rPr>
          <w:rFonts w:ascii="Times New Roman" w:eastAsia="Times New Roman" w:hAnsi="Times New Roman" w:cs="Times New Roman"/>
          <w:sz w:val="24"/>
          <w:szCs w:val="24"/>
          <w:lang w:eastAsia="el-GR"/>
        </w:rPr>
        <w:t>δηλώνει</w:t>
      </w:r>
      <w:r w:rsidRPr="00855AED">
        <w:rPr>
          <w:rFonts w:ascii="Times New Roman" w:eastAsia="Times New Roman" w:hAnsi="Times New Roman" w:cs="Times New Roman"/>
          <w:sz w:val="24"/>
          <w:szCs w:val="24"/>
          <w:lang w:eastAsia="el-GR"/>
        </w:rPr>
        <w:t xml:space="preserve"> πως έχει ληξιπρόθεσμες οφειλές προς την εφορία, το  </w:t>
      </w:r>
      <w:r w:rsidR="00855AED" w:rsidRPr="00855AED">
        <w:rPr>
          <w:rFonts w:ascii="Times New Roman" w:eastAsia="Times New Roman" w:hAnsi="Times New Roman" w:cs="Times New Roman"/>
          <w:sz w:val="24"/>
          <w:szCs w:val="24"/>
          <w:lang w:eastAsia="el-GR"/>
        </w:rPr>
        <w:t>20,1</w:t>
      </w:r>
      <w:r w:rsidRPr="00855AED">
        <w:rPr>
          <w:rFonts w:ascii="Times New Roman" w:eastAsia="Times New Roman" w:hAnsi="Times New Roman" w:cs="Times New Roman"/>
          <w:sz w:val="24"/>
          <w:szCs w:val="24"/>
          <w:lang w:eastAsia="el-GR"/>
        </w:rPr>
        <w:t xml:space="preserve">% προς προμηθευτές, το </w:t>
      </w:r>
      <w:r w:rsidR="00855AED" w:rsidRPr="00855AED">
        <w:rPr>
          <w:rFonts w:ascii="Times New Roman" w:eastAsia="Times New Roman" w:hAnsi="Times New Roman" w:cs="Times New Roman"/>
          <w:sz w:val="24"/>
          <w:szCs w:val="24"/>
          <w:lang w:eastAsia="el-GR"/>
        </w:rPr>
        <w:t>15,2</w:t>
      </w:r>
      <w:r w:rsidRPr="00855AED">
        <w:rPr>
          <w:rFonts w:ascii="Times New Roman" w:eastAsia="Times New Roman" w:hAnsi="Times New Roman" w:cs="Times New Roman"/>
          <w:sz w:val="24"/>
          <w:szCs w:val="24"/>
          <w:lang w:eastAsia="el-GR"/>
        </w:rPr>
        <w:t xml:space="preserve">% σε λογαριασμούς ενέργειας και το </w:t>
      </w:r>
      <w:r w:rsidR="00855AED" w:rsidRPr="00855AED">
        <w:rPr>
          <w:rFonts w:ascii="Times New Roman" w:eastAsia="Times New Roman" w:hAnsi="Times New Roman" w:cs="Times New Roman"/>
          <w:sz w:val="24"/>
          <w:szCs w:val="24"/>
          <w:lang w:eastAsia="el-GR"/>
        </w:rPr>
        <w:t>13,1</w:t>
      </w:r>
      <w:r w:rsidRPr="00855AED">
        <w:rPr>
          <w:rFonts w:ascii="Times New Roman" w:eastAsia="Times New Roman" w:hAnsi="Times New Roman" w:cs="Times New Roman"/>
          <w:sz w:val="24"/>
          <w:szCs w:val="24"/>
          <w:lang w:eastAsia="el-GR"/>
        </w:rPr>
        <w:t>% σε λοιπούς λογαριασμούς (πχ τηλέφωνο, ύδρευση)</w:t>
      </w:r>
      <w:r w:rsidR="005F6010" w:rsidRPr="00855AED">
        <w:rPr>
          <w:rFonts w:ascii="Times New Roman" w:eastAsia="Times New Roman" w:hAnsi="Times New Roman" w:cs="Times New Roman"/>
          <w:sz w:val="24"/>
          <w:szCs w:val="24"/>
          <w:lang w:eastAsia="el-GR"/>
        </w:rPr>
        <w:t xml:space="preserve">. Όσον αφορά τις επιχειρήσεις που έχουν </w:t>
      </w:r>
      <w:r w:rsidR="00855AED" w:rsidRPr="00855AED">
        <w:rPr>
          <w:rFonts w:ascii="Times New Roman" w:eastAsia="Times New Roman" w:hAnsi="Times New Roman" w:cs="Times New Roman"/>
          <w:sz w:val="24"/>
          <w:szCs w:val="24"/>
          <w:lang w:eastAsia="el-GR"/>
        </w:rPr>
        <w:t>τραπεζικά δάνεια</w:t>
      </w:r>
      <w:r w:rsidR="00FA5CFC">
        <w:rPr>
          <w:rFonts w:ascii="Times New Roman" w:eastAsia="Times New Roman" w:hAnsi="Times New Roman" w:cs="Times New Roman"/>
          <w:sz w:val="24"/>
          <w:szCs w:val="24"/>
          <w:lang w:eastAsia="el-GR"/>
        </w:rPr>
        <w:t>,</w:t>
      </w:r>
      <w:r w:rsidR="00855AED" w:rsidRPr="00855AED">
        <w:rPr>
          <w:rFonts w:ascii="Times New Roman" w:eastAsia="Times New Roman" w:hAnsi="Times New Roman" w:cs="Times New Roman"/>
          <w:sz w:val="24"/>
          <w:szCs w:val="24"/>
          <w:lang w:eastAsia="el-GR"/>
        </w:rPr>
        <w:t xml:space="preserve"> το 25,5% αυτών</w:t>
      </w:r>
      <w:r w:rsidR="00FA5CFC">
        <w:rPr>
          <w:rFonts w:ascii="Times New Roman" w:eastAsia="Times New Roman" w:hAnsi="Times New Roman" w:cs="Times New Roman"/>
          <w:sz w:val="24"/>
          <w:szCs w:val="24"/>
          <w:lang w:eastAsia="el-GR"/>
        </w:rPr>
        <w:t xml:space="preserve"> (</w:t>
      </w:r>
      <w:r w:rsidR="00855AED">
        <w:rPr>
          <w:rFonts w:ascii="Times New Roman" w:eastAsia="Times New Roman" w:hAnsi="Times New Roman" w:cs="Times New Roman"/>
          <w:sz w:val="24"/>
          <w:szCs w:val="24"/>
          <w:lang w:eastAsia="el-GR"/>
        </w:rPr>
        <w:t>πολύ υψηλό ποσοστό</w:t>
      </w:r>
      <w:r w:rsidR="00FA5CFC">
        <w:rPr>
          <w:rFonts w:ascii="Times New Roman" w:eastAsia="Times New Roman" w:hAnsi="Times New Roman" w:cs="Times New Roman"/>
          <w:sz w:val="24"/>
          <w:szCs w:val="24"/>
          <w:lang w:eastAsia="el-GR"/>
        </w:rPr>
        <w:t>)</w:t>
      </w:r>
      <w:r w:rsidR="00855AED">
        <w:rPr>
          <w:rFonts w:ascii="Times New Roman" w:eastAsia="Times New Roman" w:hAnsi="Times New Roman" w:cs="Times New Roman"/>
          <w:sz w:val="24"/>
          <w:szCs w:val="24"/>
          <w:lang w:eastAsia="el-GR"/>
        </w:rPr>
        <w:t>,</w:t>
      </w:r>
      <w:r w:rsidR="00855AED" w:rsidRPr="00855AED">
        <w:rPr>
          <w:rFonts w:ascii="Times New Roman" w:eastAsia="Times New Roman" w:hAnsi="Times New Roman" w:cs="Times New Roman"/>
          <w:sz w:val="24"/>
          <w:szCs w:val="24"/>
          <w:lang w:eastAsia="el-GR"/>
        </w:rPr>
        <w:t xml:space="preserve"> έχ</w:t>
      </w:r>
      <w:r w:rsidR="00855AED">
        <w:rPr>
          <w:rFonts w:ascii="Times New Roman" w:eastAsia="Times New Roman" w:hAnsi="Times New Roman" w:cs="Times New Roman"/>
          <w:sz w:val="24"/>
          <w:szCs w:val="24"/>
          <w:lang w:eastAsia="el-GR"/>
        </w:rPr>
        <w:t>ει</w:t>
      </w:r>
      <w:r w:rsidR="00855AED" w:rsidRPr="00855AED">
        <w:rPr>
          <w:rFonts w:ascii="Times New Roman" w:eastAsia="Times New Roman" w:hAnsi="Times New Roman" w:cs="Times New Roman"/>
          <w:sz w:val="24"/>
          <w:szCs w:val="24"/>
          <w:lang w:eastAsia="el-GR"/>
        </w:rPr>
        <w:t xml:space="preserve"> ληξιπρόθεσμες οφειλές προς τις τράπεζες. </w:t>
      </w:r>
    </w:p>
    <w:p w14:paraId="2250C227" w14:textId="77777777" w:rsidR="002103D0" w:rsidRPr="00E36734" w:rsidRDefault="002103D0" w:rsidP="0021116B">
      <w:pPr>
        <w:spacing w:after="0" w:line="360" w:lineRule="auto"/>
        <w:jc w:val="both"/>
        <w:rPr>
          <w:rFonts w:ascii="Times New Roman" w:eastAsia="Times New Roman" w:hAnsi="Times New Roman" w:cs="Times New Roman"/>
          <w:sz w:val="24"/>
          <w:szCs w:val="24"/>
          <w:lang w:eastAsia="el-GR"/>
        </w:rPr>
      </w:pPr>
    </w:p>
    <w:p w14:paraId="780E278D" w14:textId="0B079659" w:rsidR="00E567EA" w:rsidRPr="00E36734" w:rsidRDefault="00982B33" w:rsidP="007E56A7">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Γράφημα </w:t>
      </w:r>
      <w:r w:rsidR="006B67CA">
        <w:rPr>
          <w:rFonts w:ascii="Times New Roman" w:eastAsia="Times New Roman" w:hAnsi="Times New Roman" w:cs="Times New Roman"/>
          <w:b/>
          <w:bCs/>
          <w:sz w:val="24"/>
          <w:szCs w:val="24"/>
          <w:lang w:eastAsia="el-GR"/>
        </w:rPr>
        <w:t>22</w:t>
      </w:r>
    </w:p>
    <w:p w14:paraId="6B079576" w14:textId="45CC8498" w:rsidR="00E567EA" w:rsidRPr="00E36734" w:rsidRDefault="00E567EA" w:rsidP="00E567EA">
      <w:pPr>
        <w:spacing w:after="0" w:line="360" w:lineRule="auto"/>
        <w:jc w:val="center"/>
        <w:rPr>
          <w:rFonts w:ascii="Times New Roman" w:eastAsia="Times New Roman" w:hAnsi="Times New Roman" w:cs="Times New Roman"/>
          <w:b/>
          <w:bCs/>
          <w:sz w:val="24"/>
          <w:szCs w:val="24"/>
          <w:lang w:eastAsia="el-GR"/>
        </w:rPr>
      </w:pPr>
      <w:bookmarkStart w:id="19" w:name="_Hlk67939272"/>
      <w:r w:rsidRPr="00E36734">
        <w:rPr>
          <w:rFonts w:ascii="Times New Roman" w:eastAsia="Times New Roman" w:hAnsi="Times New Roman" w:cs="Times New Roman"/>
          <w:b/>
          <w:bCs/>
          <w:sz w:val="24"/>
          <w:szCs w:val="24"/>
          <w:lang w:eastAsia="el-GR"/>
        </w:rPr>
        <w:t xml:space="preserve">Επιχειρήσεις που έχουν καθυστερημένες οφειλές </w:t>
      </w:r>
    </w:p>
    <w:p w14:paraId="1D2F3AF0" w14:textId="1B5266AB" w:rsidR="00AB1C80" w:rsidRPr="00E36734" w:rsidRDefault="00E567EA" w:rsidP="00E567EA">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ΣΥΓΚΡΙΤΙΚΟ ΓΡΑΦΗΜΑ </w:t>
      </w:r>
      <w:r w:rsidR="00DD7C9C" w:rsidRPr="00E36734">
        <w:rPr>
          <w:rFonts w:ascii="Times New Roman" w:eastAsia="Times New Roman" w:hAnsi="Times New Roman" w:cs="Times New Roman"/>
          <w:b/>
          <w:bCs/>
          <w:sz w:val="24"/>
          <w:szCs w:val="24"/>
          <w:lang w:eastAsia="el-GR"/>
        </w:rPr>
        <w:t>ΙΟΥΛΙΟΣ</w:t>
      </w:r>
      <w:r w:rsidRPr="00E36734">
        <w:rPr>
          <w:rFonts w:ascii="Times New Roman" w:eastAsia="Times New Roman" w:hAnsi="Times New Roman" w:cs="Times New Roman"/>
          <w:b/>
          <w:bCs/>
          <w:sz w:val="24"/>
          <w:szCs w:val="24"/>
          <w:lang w:eastAsia="el-GR"/>
        </w:rPr>
        <w:t xml:space="preserve"> 2020</w:t>
      </w:r>
      <w:r w:rsidR="006733D8">
        <w:rPr>
          <w:rFonts w:ascii="Times New Roman" w:eastAsia="Times New Roman" w:hAnsi="Times New Roman" w:cs="Times New Roman"/>
          <w:b/>
          <w:bCs/>
          <w:sz w:val="24"/>
          <w:szCs w:val="24"/>
          <w:lang w:eastAsia="el-GR"/>
        </w:rPr>
        <w:t xml:space="preserve"> </w:t>
      </w:r>
      <w:r w:rsidR="00530A0F">
        <w:rPr>
          <w:rFonts w:ascii="Times New Roman" w:eastAsia="Times New Roman" w:hAnsi="Times New Roman" w:cs="Times New Roman"/>
          <w:b/>
          <w:bCs/>
          <w:sz w:val="24"/>
          <w:szCs w:val="24"/>
          <w:lang w:eastAsia="el-GR"/>
        </w:rPr>
        <w:t>– ΙΟΥΛΙΟΣ 2021</w:t>
      </w:r>
    </w:p>
    <w:p w14:paraId="2DCC1EF6" w14:textId="7FB042D1" w:rsidR="00971CF2" w:rsidRPr="00E36734" w:rsidRDefault="00BA1D4B" w:rsidP="00E567EA">
      <w:pPr>
        <w:spacing w:after="0" w:line="360" w:lineRule="auto"/>
        <w:jc w:val="center"/>
        <w:rPr>
          <w:rFonts w:ascii="Times New Roman" w:eastAsia="Times New Roman" w:hAnsi="Times New Roman" w:cs="Times New Roman"/>
          <w:b/>
          <w:bCs/>
          <w:sz w:val="24"/>
          <w:szCs w:val="24"/>
          <w:lang w:eastAsia="el-GR"/>
        </w:rPr>
      </w:pPr>
      <w:r w:rsidRPr="00E36734">
        <w:rPr>
          <w:noProof/>
          <w:lang w:val="en-US"/>
        </w:rPr>
        <mc:AlternateContent>
          <mc:Choice Requires="wps">
            <w:drawing>
              <wp:anchor distT="0" distB="0" distL="114300" distR="114300" simplePos="0" relativeHeight="251656192" behindDoc="0" locked="0" layoutInCell="1" allowOverlap="1" wp14:anchorId="5ECE61BE" wp14:editId="7B2ACA5E">
                <wp:simplePos x="0" y="0"/>
                <wp:positionH relativeFrom="column">
                  <wp:posOffset>-635</wp:posOffset>
                </wp:positionH>
                <wp:positionV relativeFrom="paragraph">
                  <wp:posOffset>3642360</wp:posOffset>
                </wp:positionV>
                <wp:extent cx="4015740" cy="289560"/>
                <wp:effectExtent l="0" t="0" r="0" b="0"/>
                <wp:wrapNone/>
                <wp:docPr id="9" name="TextBox 8"/>
                <wp:cNvGraphicFramePr/>
                <a:graphic xmlns:a="http://schemas.openxmlformats.org/drawingml/2006/main">
                  <a:graphicData uri="http://schemas.microsoft.com/office/word/2010/wordprocessingShape">
                    <wps:wsp>
                      <wps:cNvSpPr txBox="1"/>
                      <wps:spPr>
                        <a:xfrm>
                          <a:off x="0" y="0"/>
                          <a:ext cx="4015740" cy="289560"/>
                        </a:xfrm>
                        <a:prstGeom prst="rect">
                          <a:avLst/>
                        </a:prstGeom>
                        <a:noFill/>
                      </wps:spPr>
                      <wps:txbx>
                        <w:txbxContent>
                          <w:p w14:paraId="07E0C355" w14:textId="7EBF824B" w:rsidR="00FA5CFC" w:rsidRPr="00246CED" w:rsidRDefault="00FA5CFC" w:rsidP="00246CED">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w:t>
                            </w:r>
                            <w:r>
                              <w:rPr>
                                <w:rFonts w:ascii="Microsoft JhengHei UI" w:eastAsia="Microsoft JhengHei UI" w:hAnsi="Microsoft JhengHei UI" w:cs="Microsoft Sans Serif"/>
                                <w:b/>
                                <w:bCs/>
                                <w:i/>
                                <w:iCs/>
                                <w:color w:val="000000"/>
                                <w:kern w:val="24"/>
                                <w:sz w:val="14"/>
                                <w:szCs w:val="14"/>
                              </w:rPr>
                              <w:t xml:space="preserve"> </w:t>
                            </w:r>
                            <w:r w:rsidRPr="00246CED">
                              <w:rPr>
                                <w:rFonts w:ascii="Microsoft JhengHei UI" w:eastAsia="Microsoft JhengHei UI" w:hAnsi="Microsoft JhengHei UI" w:cs="Microsoft Sans Serif" w:hint="eastAsia"/>
                                <w:b/>
                                <w:bCs/>
                                <w:i/>
                                <w:iCs/>
                                <w:color w:val="000000"/>
                                <w:kern w:val="24"/>
                                <w:sz w:val="14"/>
                                <w:szCs w:val="14"/>
                              </w:rPr>
                              <w:t>και δάνειο αντίστοιχα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CE61BE" id="TextBox 8" o:spid="_x0000_s1028" type="#_x0000_t202" style="position:absolute;left:0;text-align:left;margin-left:-.05pt;margin-top:286.8pt;width:316.2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" filled="f" stroked="f">
                <v:textbox>
                  <w:txbxContent>
                    <w:p w14:paraId="07E0C355" w14:textId="7EBF824B" w:rsidR="00FA5CFC" w:rsidRPr="00246CED" w:rsidRDefault="00FA5CFC" w:rsidP="00246CED">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w:t>
                      </w:r>
                      <w:r>
                        <w:rPr>
                          <w:rFonts w:ascii="Microsoft JhengHei UI" w:eastAsia="Microsoft JhengHei UI" w:hAnsi="Microsoft JhengHei UI" w:cs="Microsoft Sans Serif"/>
                          <w:b/>
                          <w:bCs/>
                          <w:i/>
                          <w:iCs/>
                          <w:color w:val="000000"/>
                          <w:kern w:val="24"/>
                          <w:sz w:val="14"/>
                          <w:szCs w:val="14"/>
                        </w:rPr>
                        <w:t xml:space="preserve"> </w:t>
                      </w:r>
                      <w:r w:rsidRPr="00246CED">
                        <w:rPr>
                          <w:rFonts w:ascii="Microsoft JhengHei UI" w:eastAsia="Microsoft JhengHei UI" w:hAnsi="Microsoft JhengHei UI" w:cs="Microsoft Sans Serif" w:hint="eastAsia"/>
                          <w:b/>
                          <w:bCs/>
                          <w:i/>
                          <w:iCs/>
                          <w:color w:val="000000"/>
                          <w:kern w:val="24"/>
                          <w:sz w:val="14"/>
                          <w:szCs w:val="14"/>
                        </w:rPr>
                        <w:t>και δάνειο αντίστοιχα</w:t>
                      </w:r>
                    </w:p>
                  </w:txbxContent>
                </v:textbox>
              </v:shape>
            </w:pict>
          </mc:Fallback>
        </mc:AlternateContent>
      </w:r>
      <w:r w:rsidR="00971CF2" w:rsidRPr="00E36734">
        <w:rPr>
          <w:rFonts w:ascii="Times New Roman" w:eastAsia="Times New Roman" w:hAnsi="Times New Roman" w:cs="Times New Roman"/>
          <w:b/>
          <w:bCs/>
          <w:noProof/>
          <w:sz w:val="16"/>
          <w:szCs w:val="16"/>
          <w:lang w:val="en-US"/>
        </w:rPr>
        <w:drawing>
          <wp:inline distT="0" distB="0" distL="0" distR="0" wp14:anchorId="00649FF0" wp14:editId="6D298A4F">
            <wp:extent cx="6570980" cy="3817620"/>
            <wp:effectExtent l="0" t="0" r="1270" b="11430"/>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bookmarkEnd w:id="19"/>
    <w:p w14:paraId="2C2E100A" w14:textId="0772F06C" w:rsidR="005F25BB" w:rsidRPr="005F25BB" w:rsidRDefault="008B6EB3" w:rsidP="007E56A7">
      <w:pPr>
        <w:spacing w:after="0" w:line="360" w:lineRule="auto"/>
        <w:jc w:val="both"/>
        <w:rPr>
          <w:rFonts w:ascii="Times New Roman" w:eastAsia="Times New Roman" w:hAnsi="Times New Roman" w:cs="Times New Roman"/>
          <w:sz w:val="24"/>
          <w:szCs w:val="24"/>
          <w:lang w:eastAsia="el-GR"/>
        </w:rPr>
      </w:pPr>
      <w:r w:rsidRPr="005F25BB">
        <w:rPr>
          <w:rFonts w:ascii="Times New Roman" w:eastAsia="Times New Roman" w:hAnsi="Times New Roman" w:cs="Times New Roman"/>
          <w:sz w:val="24"/>
          <w:szCs w:val="24"/>
          <w:lang w:eastAsia="el-GR"/>
        </w:rPr>
        <w:t>Ως προς τις εκτιμήσεις των επιχειρήσεων</w:t>
      </w:r>
      <w:r w:rsidR="00702E6E" w:rsidRPr="005F25BB">
        <w:rPr>
          <w:rFonts w:ascii="Times New Roman" w:eastAsia="Times New Roman" w:hAnsi="Times New Roman" w:cs="Times New Roman"/>
          <w:sz w:val="24"/>
          <w:szCs w:val="24"/>
          <w:lang w:eastAsia="el-GR"/>
        </w:rPr>
        <w:t xml:space="preserve"> (Γράφημα</w:t>
      </w:r>
      <w:r w:rsidR="002103D0" w:rsidRPr="005F25BB">
        <w:rPr>
          <w:rFonts w:ascii="Times New Roman" w:eastAsia="Times New Roman" w:hAnsi="Times New Roman" w:cs="Times New Roman"/>
          <w:sz w:val="24"/>
          <w:szCs w:val="24"/>
          <w:lang w:eastAsia="el-GR"/>
        </w:rPr>
        <w:t xml:space="preserve"> </w:t>
      </w:r>
      <w:r w:rsidR="00855AED" w:rsidRPr="005F25BB">
        <w:rPr>
          <w:rFonts w:ascii="Times New Roman" w:eastAsia="Times New Roman" w:hAnsi="Times New Roman" w:cs="Times New Roman"/>
          <w:sz w:val="24"/>
          <w:szCs w:val="24"/>
          <w:lang w:eastAsia="el-GR"/>
        </w:rPr>
        <w:t>23</w:t>
      </w:r>
      <w:r w:rsidR="00702E6E" w:rsidRPr="005F25BB">
        <w:rPr>
          <w:rFonts w:ascii="Times New Roman" w:eastAsia="Times New Roman" w:hAnsi="Times New Roman" w:cs="Times New Roman"/>
          <w:sz w:val="24"/>
          <w:szCs w:val="24"/>
          <w:lang w:eastAsia="el-GR"/>
        </w:rPr>
        <w:t>)</w:t>
      </w:r>
      <w:r w:rsidRPr="005F25BB">
        <w:rPr>
          <w:rFonts w:ascii="Times New Roman" w:eastAsia="Times New Roman" w:hAnsi="Times New Roman" w:cs="Times New Roman"/>
          <w:sz w:val="24"/>
          <w:szCs w:val="24"/>
          <w:lang w:eastAsia="el-GR"/>
        </w:rPr>
        <w:t xml:space="preserve"> για το επόμενο διάστημα</w:t>
      </w:r>
      <w:r w:rsidR="00FA5CFC">
        <w:rPr>
          <w:rFonts w:ascii="Times New Roman" w:eastAsia="Times New Roman" w:hAnsi="Times New Roman" w:cs="Times New Roman"/>
          <w:sz w:val="24"/>
          <w:szCs w:val="24"/>
          <w:lang w:eastAsia="el-GR"/>
        </w:rPr>
        <w:t>,</w:t>
      </w:r>
      <w:r w:rsidRPr="005F25BB">
        <w:rPr>
          <w:rFonts w:ascii="Times New Roman" w:eastAsia="Times New Roman" w:hAnsi="Times New Roman" w:cs="Times New Roman"/>
          <w:sz w:val="24"/>
          <w:szCs w:val="24"/>
          <w:lang w:eastAsia="el-GR"/>
        </w:rPr>
        <w:t xml:space="preserve"> η κατάσταση προδιαγράφεται </w:t>
      </w:r>
      <w:r w:rsidR="005F25BB" w:rsidRPr="005F25BB">
        <w:rPr>
          <w:rFonts w:ascii="Times New Roman" w:eastAsia="Times New Roman" w:hAnsi="Times New Roman" w:cs="Times New Roman"/>
          <w:sz w:val="24"/>
          <w:szCs w:val="24"/>
          <w:lang w:eastAsia="el-GR"/>
        </w:rPr>
        <w:t>δύσκολη</w:t>
      </w:r>
      <w:r w:rsidR="00FA5CFC">
        <w:rPr>
          <w:rFonts w:ascii="Times New Roman" w:eastAsia="Times New Roman" w:hAnsi="Times New Roman" w:cs="Times New Roman"/>
          <w:sz w:val="24"/>
          <w:szCs w:val="24"/>
          <w:lang w:eastAsia="el-GR"/>
        </w:rPr>
        <w:t>,</w:t>
      </w:r>
      <w:r w:rsidR="005F25BB" w:rsidRPr="005F25BB">
        <w:rPr>
          <w:rFonts w:ascii="Times New Roman" w:eastAsia="Times New Roman" w:hAnsi="Times New Roman" w:cs="Times New Roman"/>
          <w:sz w:val="24"/>
          <w:szCs w:val="24"/>
          <w:lang w:eastAsia="el-GR"/>
        </w:rPr>
        <w:t xml:space="preserve"> αν και οι εκτιμήσεις των επιχειρήσεων ως προς τις υποχρεώσεις </w:t>
      </w:r>
      <w:r w:rsidR="00533A92">
        <w:rPr>
          <w:rFonts w:ascii="Times New Roman" w:eastAsia="Times New Roman" w:hAnsi="Times New Roman" w:cs="Times New Roman"/>
          <w:sz w:val="24"/>
          <w:szCs w:val="24"/>
          <w:lang w:eastAsia="el-GR"/>
        </w:rPr>
        <w:t xml:space="preserve">τους </w:t>
      </w:r>
      <w:r w:rsidR="005F25BB" w:rsidRPr="005F25BB">
        <w:rPr>
          <w:rFonts w:ascii="Times New Roman" w:eastAsia="Times New Roman" w:hAnsi="Times New Roman" w:cs="Times New Roman"/>
          <w:sz w:val="24"/>
          <w:szCs w:val="24"/>
          <w:lang w:eastAsia="el-GR"/>
        </w:rPr>
        <w:t xml:space="preserve">είναι σημαντικά καλύτερες σε σχέση με τα ευρήματα της έρευνας του Φεβρουάριο του 2021. </w:t>
      </w:r>
      <w:r w:rsidR="005F25BB">
        <w:rPr>
          <w:rFonts w:ascii="Times New Roman" w:eastAsia="Times New Roman" w:hAnsi="Times New Roman" w:cs="Times New Roman"/>
          <w:sz w:val="24"/>
          <w:szCs w:val="24"/>
          <w:lang w:eastAsia="el-GR"/>
        </w:rPr>
        <w:t xml:space="preserve">Οι προβλέψεις </w:t>
      </w:r>
      <w:r w:rsidR="005F25BB">
        <w:rPr>
          <w:rFonts w:ascii="Times New Roman" w:eastAsia="Times New Roman" w:hAnsi="Times New Roman" w:cs="Times New Roman"/>
          <w:sz w:val="24"/>
          <w:szCs w:val="24"/>
          <w:lang w:eastAsia="el-GR"/>
        </w:rPr>
        <w:lastRenderedPageBreak/>
        <w:t xml:space="preserve">μάλιστα σε κατηγορίες υποχρεώσεων που το προηγούμενο εξάμηνο υιοθετήθηκαν </w:t>
      </w:r>
      <w:proofErr w:type="spellStart"/>
      <w:r w:rsidR="005F25BB">
        <w:rPr>
          <w:rFonts w:ascii="Times New Roman" w:eastAsia="Times New Roman" w:hAnsi="Times New Roman" w:cs="Times New Roman"/>
          <w:sz w:val="24"/>
          <w:szCs w:val="24"/>
          <w:lang w:eastAsia="el-GR"/>
        </w:rPr>
        <w:t>στοχευμένα</w:t>
      </w:r>
      <w:proofErr w:type="spellEnd"/>
      <w:r w:rsidR="005F25BB">
        <w:rPr>
          <w:rFonts w:ascii="Times New Roman" w:eastAsia="Times New Roman" w:hAnsi="Times New Roman" w:cs="Times New Roman"/>
          <w:sz w:val="24"/>
          <w:szCs w:val="24"/>
          <w:lang w:eastAsia="el-GR"/>
        </w:rPr>
        <w:t xml:space="preserve"> μέτρα στήριξης των επιχειρήσεων είναι θεαματικά καλύτερες σε σχέση με εκείνες της έρευνας του Φεβρουαρίου του 2021. Συγκεκριμένα</w:t>
      </w:r>
      <w:r w:rsidR="00533A92">
        <w:rPr>
          <w:rFonts w:ascii="Times New Roman" w:eastAsia="Times New Roman" w:hAnsi="Times New Roman" w:cs="Times New Roman"/>
          <w:sz w:val="24"/>
          <w:szCs w:val="24"/>
          <w:lang w:eastAsia="el-GR"/>
        </w:rPr>
        <w:t>,</w:t>
      </w:r>
      <w:r w:rsidR="005F25BB">
        <w:rPr>
          <w:rFonts w:ascii="Times New Roman" w:eastAsia="Times New Roman" w:hAnsi="Times New Roman" w:cs="Times New Roman"/>
          <w:sz w:val="24"/>
          <w:szCs w:val="24"/>
          <w:lang w:eastAsia="el-GR"/>
        </w:rPr>
        <w:t xml:space="preserve"> </w:t>
      </w:r>
      <w:r w:rsidR="00533A92">
        <w:rPr>
          <w:rFonts w:ascii="Times New Roman" w:eastAsia="Times New Roman" w:hAnsi="Times New Roman" w:cs="Times New Roman"/>
          <w:sz w:val="24"/>
          <w:szCs w:val="24"/>
          <w:lang w:eastAsia="el-GR"/>
        </w:rPr>
        <w:t>οι</w:t>
      </w:r>
      <w:r w:rsidR="005F25BB">
        <w:rPr>
          <w:rFonts w:ascii="Times New Roman" w:eastAsia="Times New Roman" w:hAnsi="Times New Roman" w:cs="Times New Roman"/>
          <w:sz w:val="24"/>
          <w:szCs w:val="24"/>
          <w:lang w:eastAsia="el-GR"/>
        </w:rPr>
        <w:t xml:space="preserve"> εκτιμήσεις </w:t>
      </w:r>
      <w:r w:rsidR="00533A92">
        <w:rPr>
          <w:rFonts w:ascii="Times New Roman" w:eastAsia="Times New Roman" w:hAnsi="Times New Roman" w:cs="Times New Roman"/>
          <w:sz w:val="24"/>
          <w:szCs w:val="24"/>
          <w:lang w:eastAsia="el-GR"/>
        </w:rPr>
        <w:t xml:space="preserve">των επιχειρήσεων </w:t>
      </w:r>
      <w:r w:rsidR="005F25BB">
        <w:rPr>
          <w:rFonts w:ascii="Times New Roman" w:eastAsia="Times New Roman" w:hAnsi="Times New Roman" w:cs="Times New Roman"/>
          <w:sz w:val="24"/>
          <w:szCs w:val="24"/>
          <w:lang w:eastAsia="el-GR"/>
        </w:rPr>
        <w:t>για την δυνατότητα πληρωμής των υποχρεώσεων ενοικίου</w:t>
      </w:r>
      <w:r w:rsidR="00533A92">
        <w:rPr>
          <w:rFonts w:ascii="Times New Roman" w:eastAsia="Times New Roman" w:hAnsi="Times New Roman" w:cs="Times New Roman"/>
          <w:sz w:val="24"/>
          <w:szCs w:val="24"/>
          <w:lang w:eastAsia="el-GR"/>
        </w:rPr>
        <w:t xml:space="preserve"> και </w:t>
      </w:r>
      <w:r w:rsidR="005F25BB">
        <w:rPr>
          <w:rFonts w:ascii="Times New Roman" w:eastAsia="Times New Roman" w:hAnsi="Times New Roman" w:cs="Times New Roman"/>
          <w:sz w:val="24"/>
          <w:szCs w:val="24"/>
          <w:lang w:eastAsia="el-GR"/>
        </w:rPr>
        <w:t xml:space="preserve">τραπεζικών δανείων </w:t>
      </w:r>
      <w:r w:rsidR="00533A92">
        <w:rPr>
          <w:rFonts w:ascii="Times New Roman" w:eastAsia="Times New Roman" w:hAnsi="Times New Roman" w:cs="Times New Roman"/>
          <w:sz w:val="24"/>
          <w:szCs w:val="24"/>
          <w:lang w:eastAsia="el-GR"/>
        </w:rPr>
        <w:t xml:space="preserve">έχουν βελτιωθεί σημαντικά κάτι που πιθανότατα οφείλεται τόσο στο μέτρο μείωσης/ απαλλαγής ενοικίου όσο και στο πρόγραμμα Γέφυρα 2. </w:t>
      </w:r>
    </w:p>
    <w:p w14:paraId="004ED605" w14:textId="2123B737" w:rsidR="00533A92" w:rsidRPr="00533A92" w:rsidRDefault="00533A92" w:rsidP="00533A92">
      <w:pPr>
        <w:spacing w:after="0" w:line="360" w:lineRule="auto"/>
        <w:jc w:val="both"/>
        <w:rPr>
          <w:rFonts w:ascii="Times New Roman" w:eastAsia="Times New Roman" w:hAnsi="Times New Roman" w:cs="Times New Roman"/>
          <w:sz w:val="24"/>
          <w:szCs w:val="24"/>
          <w:lang w:eastAsia="el-GR"/>
        </w:rPr>
      </w:pPr>
      <w:r w:rsidRPr="00533A92">
        <w:rPr>
          <w:rFonts w:ascii="Times New Roman" w:eastAsia="Times New Roman" w:hAnsi="Times New Roman" w:cs="Times New Roman"/>
          <w:sz w:val="24"/>
          <w:szCs w:val="24"/>
          <w:lang w:eastAsia="el-GR"/>
        </w:rPr>
        <w:t xml:space="preserve">Πέραν τούτου, 1 στις 5 επιχειρήσεις θεωρεί πως το επόμενο εξάμηνο δεν θα μπορέσει να ανταποκριθεί : </w:t>
      </w:r>
      <w:bookmarkStart w:id="20" w:name="_Hlk67988038"/>
      <w:bookmarkStart w:id="21" w:name="_Hlk68075567"/>
    </w:p>
    <w:p w14:paraId="346AC049" w14:textId="36376969" w:rsidR="00993DDC" w:rsidRPr="00533A92" w:rsidRDefault="00533A92" w:rsidP="00004B00">
      <w:pPr>
        <w:pStyle w:val="a5"/>
        <w:numPr>
          <w:ilvl w:val="0"/>
          <w:numId w:val="20"/>
        </w:numPr>
        <w:spacing w:after="0" w:line="360" w:lineRule="auto"/>
        <w:ind w:left="360"/>
        <w:jc w:val="both"/>
        <w:rPr>
          <w:rFonts w:ascii="Times New Roman" w:eastAsia="Times New Roman" w:hAnsi="Times New Roman" w:cs="Times New Roman"/>
          <w:sz w:val="24"/>
          <w:szCs w:val="24"/>
          <w:lang w:eastAsia="el-GR"/>
        </w:rPr>
      </w:pPr>
      <w:r w:rsidRPr="00533A92">
        <w:rPr>
          <w:rFonts w:ascii="Times New Roman" w:eastAsia="Times New Roman" w:hAnsi="Times New Roman" w:cs="Times New Roman"/>
          <w:sz w:val="24"/>
          <w:szCs w:val="24"/>
          <w:lang w:eastAsia="el-GR"/>
        </w:rPr>
        <w:t>στις υποχρεώσεις προς τον πρώην ΟΑΕΕ</w:t>
      </w:r>
      <w:r w:rsidR="00993DDC" w:rsidRPr="00533A92">
        <w:rPr>
          <w:rFonts w:ascii="Times New Roman" w:eastAsia="Times New Roman" w:hAnsi="Times New Roman" w:cs="Times New Roman"/>
          <w:sz w:val="24"/>
          <w:szCs w:val="24"/>
          <w:lang w:eastAsia="el-GR"/>
        </w:rPr>
        <w:t xml:space="preserve"> (</w:t>
      </w:r>
      <w:r w:rsidRPr="00533A92">
        <w:rPr>
          <w:rFonts w:ascii="Times New Roman" w:eastAsia="Times New Roman" w:hAnsi="Times New Roman" w:cs="Times New Roman"/>
          <w:sz w:val="24"/>
          <w:szCs w:val="24"/>
          <w:lang w:eastAsia="el-GR"/>
        </w:rPr>
        <w:t>20,8</w:t>
      </w:r>
      <w:r w:rsidR="00993DDC" w:rsidRPr="00533A92">
        <w:rPr>
          <w:rFonts w:ascii="Times New Roman" w:eastAsia="Times New Roman" w:hAnsi="Times New Roman" w:cs="Times New Roman"/>
          <w:sz w:val="24"/>
          <w:szCs w:val="24"/>
          <w:lang w:eastAsia="el-GR"/>
        </w:rPr>
        <w:t>%)</w:t>
      </w:r>
    </w:p>
    <w:bookmarkEnd w:id="20"/>
    <w:p w14:paraId="506C80C2" w14:textId="38B599D2" w:rsidR="00993DDC" w:rsidRPr="00533A92" w:rsidRDefault="00993DDC" w:rsidP="00004B00">
      <w:pPr>
        <w:pStyle w:val="a5"/>
        <w:numPr>
          <w:ilvl w:val="0"/>
          <w:numId w:val="2"/>
        </w:numPr>
        <w:spacing w:after="0" w:line="360" w:lineRule="auto"/>
        <w:ind w:left="360"/>
        <w:rPr>
          <w:rFonts w:ascii="Times New Roman" w:eastAsia="Times New Roman" w:hAnsi="Times New Roman" w:cs="Times New Roman"/>
          <w:sz w:val="24"/>
          <w:szCs w:val="24"/>
          <w:lang w:eastAsia="el-GR"/>
        </w:rPr>
      </w:pPr>
      <w:r w:rsidRPr="00533A92">
        <w:rPr>
          <w:rFonts w:ascii="Times New Roman" w:eastAsia="Times New Roman" w:hAnsi="Times New Roman" w:cs="Times New Roman"/>
          <w:sz w:val="24"/>
          <w:szCs w:val="24"/>
          <w:lang w:eastAsia="el-GR"/>
        </w:rPr>
        <w:t>στις φορολογικές της υποχρεώσεις (</w:t>
      </w:r>
      <w:r w:rsidR="00533A92" w:rsidRPr="00533A92">
        <w:rPr>
          <w:rFonts w:ascii="Times New Roman" w:eastAsia="Times New Roman" w:hAnsi="Times New Roman" w:cs="Times New Roman"/>
          <w:sz w:val="24"/>
          <w:szCs w:val="24"/>
          <w:lang w:eastAsia="el-GR"/>
        </w:rPr>
        <w:t>20,8</w:t>
      </w:r>
      <w:r w:rsidRPr="00533A92">
        <w:rPr>
          <w:rFonts w:ascii="Times New Roman" w:eastAsia="Times New Roman" w:hAnsi="Times New Roman" w:cs="Times New Roman"/>
          <w:sz w:val="24"/>
          <w:szCs w:val="24"/>
          <w:lang w:eastAsia="el-GR"/>
        </w:rPr>
        <w:t>%)</w:t>
      </w:r>
    </w:p>
    <w:p w14:paraId="47FC3D53" w14:textId="5759B067" w:rsidR="00993DDC" w:rsidRPr="00533A92" w:rsidRDefault="00993DDC" w:rsidP="00004B00">
      <w:pPr>
        <w:pStyle w:val="a5"/>
        <w:numPr>
          <w:ilvl w:val="0"/>
          <w:numId w:val="2"/>
        </w:numPr>
        <w:spacing w:after="0" w:line="360" w:lineRule="auto"/>
        <w:ind w:left="360"/>
        <w:jc w:val="both"/>
        <w:rPr>
          <w:rFonts w:ascii="Times New Roman" w:eastAsia="Times New Roman" w:hAnsi="Times New Roman" w:cs="Times New Roman"/>
          <w:sz w:val="24"/>
          <w:szCs w:val="24"/>
          <w:lang w:eastAsia="el-GR"/>
        </w:rPr>
      </w:pPr>
      <w:r w:rsidRPr="00533A92">
        <w:rPr>
          <w:rFonts w:ascii="Times New Roman" w:eastAsia="Times New Roman" w:hAnsi="Times New Roman" w:cs="Times New Roman"/>
          <w:sz w:val="24"/>
          <w:szCs w:val="24"/>
          <w:lang w:eastAsia="el-GR"/>
        </w:rPr>
        <w:t>στις υποχρεώσεις ενοικίου (</w:t>
      </w:r>
      <w:r w:rsidR="00533A92" w:rsidRPr="00533A92">
        <w:rPr>
          <w:rFonts w:ascii="Times New Roman" w:eastAsia="Times New Roman" w:hAnsi="Times New Roman" w:cs="Times New Roman"/>
          <w:sz w:val="24"/>
          <w:szCs w:val="24"/>
          <w:lang w:eastAsia="el-GR"/>
        </w:rPr>
        <w:t>19</w:t>
      </w:r>
      <w:r w:rsidRPr="00533A92">
        <w:rPr>
          <w:rFonts w:ascii="Times New Roman" w:eastAsia="Times New Roman" w:hAnsi="Times New Roman" w:cs="Times New Roman"/>
          <w:sz w:val="24"/>
          <w:szCs w:val="24"/>
          <w:lang w:eastAsia="el-GR"/>
        </w:rPr>
        <w:t>%</w:t>
      </w:r>
      <w:r w:rsidR="00533A92" w:rsidRPr="00533A92">
        <w:rPr>
          <w:rFonts w:ascii="Times New Roman" w:eastAsia="Times New Roman" w:hAnsi="Times New Roman" w:cs="Times New Roman"/>
          <w:sz w:val="24"/>
          <w:szCs w:val="24"/>
          <w:lang w:eastAsia="el-GR"/>
        </w:rPr>
        <w:t xml:space="preserve"> των επιχειρήσεων που έχουν ενοίκιο)</w:t>
      </w:r>
    </w:p>
    <w:p w14:paraId="5A0A8A77" w14:textId="3C09AF2A" w:rsidR="00533A92" w:rsidRPr="00533A92" w:rsidRDefault="00533A92" w:rsidP="00004B00">
      <w:pPr>
        <w:pStyle w:val="a5"/>
        <w:numPr>
          <w:ilvl w:val="0"/>
          <w:numId w:val="2"/>
        </w:numPr>
        <w:ind w:left="360"/>
        <w:rPr>
          <w:rFonts w:ascii="Times New Roman" w:eastAsia="Times New Roman" w:hAnsi="Times New Roman" w:cs="Times New Roman"/>
          <w:sz w:val="24"/>
          <w:szCs w:val="24"/>
          <w:lang w:eastAsia="el-GR"/>
        </w:rPr>
      </w:pPr>
      <w:r w:rsidRPr="00533A92">
        <w:rPr>
          <w:rFonts w:ascii="Times New Roman" w:eastAsia="Times New Roman" w:hAnsi="Times New Roman" w:cs="Times New Roman"/>
          <w:sz w:val="24"/>
          <w:szCs w:val="24"/>
          <w:lang w:eastAsia="el-GR"/>
        </w:rPr>
        <w:t>στις υποχρεώσεις προς προμηθευτές (19,2%)</w:t>
      </w:r>
    </w:p>
    <w:p w14:paraId="248E6ED3" w14:textId="04B854CB" w:rsidR="00533A92" w:rsidRPr="00533A92" w:rsidRDefault="00533A92" w:rsidP="00004B00">
      <w:pPr>
        <w:pStyle w:val="a5"/>
        <w:numPr>
          <w:ilvl w:val="0"/>
          <w:numId w:val="2"/>
        </w:numPr>
        <w:spacing w:after="0" w:line="360" w:lineRule="auto"/>
        <w:ind w:left="360"/>
        <w:jc w:val="both"/>
        <w:rPr>
          <w:rFonts w:ascii="Times New Roman" w:eastAsia="Times New Roman" w:hAnsi="Times New Roman" w:cs="Times New Roman"/>
          <w:sz w:val="24"/>
          <w:szCs w:val="24"/>
          <w:lang w:eastAsia="el-GR"/>
        </w:rPr>
      </w:pPr>
      <w:r w:rsidRPr="00533A92">
        <w:rPr>
          <w:rFonts w:ascii="Times New Roman" w:eastAsia="Times New Roman" w:hAnsi="Times New Roman" w:cs="Times New Roman"/>
          <w:sz w:val="24"/>
          <w:szCs w:val="24"/>
          <w:lang w:eastAsia="el-GR"/>
        </w:rPr>
        <w:t>στις τραπεζικές της υποχρεώσεις (20,2% των επιχειρήσεων που έχουν τραπεζικά δάνεια)</w:t>
      </w:r>
    </w:p>
    <w:p w14:paraId="46882861" w14:textId="0615DD8B" w:rsidR="00533A92" w:rsidRPr="00004B00" w:rsidRDefault="00004B00" w:rsidP="007E56A7">
      <w:pPr>
        <w:spacing w:after="0" w:line="360" w:lineRule="auto"/>
        <w:jc w:val="both"/>
        <w:rPr>
          <w:rFonts w:ascii="Times New Roman" w:eastAsia="Times New Roman" w:hAnsi="Times New Roman" w:cs="Times New Roman"/>
          <w:sz w:val="24"/>
          <w:szCs w:val="24"/>
          <w:lang w:eastAsia="el-GR"/>
        </w:rPr>
      </w:pPr>
      <w:bookmarkStart w:id="22" w:name="_Hlk68075610"/>
      <w:bookmarkEnd w:id="21"/>
      <w:r w:rsidRPr="00004B00">
        <w:rPr>
          <w:rFonts w:ascii="Times New Roman" w:eastAsia="Times New Roman" w:hAnsi="Times New Roman" w:cs="Times New Roman"/>
          <w:sz w:val="24"/>
          <w:szCs w:val="24"/>
          <w:lang w:eastAsia="el-GR"/>
        </w:rPr>
        <w:t>Επιπλέον</w:t>
      </w:r>
      <w:r w:rsidR="00533A92" w:rsidRPr="00004B00">
        <w:rPr>
          <w:rFonts w:ascii="Times New Roman" w:eastAsia="Times New Roman" w:hAnsi="Times New Roman" w:cs="Times New Roman"/>
          <w:sz w:val="24"/>
          <w:szCs w:val="24"/>
          <w:lang w:eastAsia="el-GR"/>
        </w:rPr>
        <w:t xml:space="preserve"> το 16,5% των επιχειρήσεων </w:t>
      </w:r>
      <w:r w:rsidRPr="00004B00">
        <w:rPr>
          <w:rFonts w:ascii="Times New Roman" w:eastAsia="Times New Roman" w:hAnsi="Times New Roman" w:cs="Times New Roman"/>
          <w:sz w:val="24"/>
          <w:szCs w:val="24"/>
          <w:lang w:eastAsia="el-GR"/>
        </w:rPr>
        <w:t>δηλώνει</w:t>
      </w:r>
      <w:r w:rsidR="00533A92" w:rsidRPr="00004B00">
        <w:rPr>
          <w:rFonts w:ascii="Times New Roman" w:eastAsia="Times New Roman" w:hAnsi="Times New Roman" w:cs="Times New Roman"/>
          <w:sz w:val="24"/>
          <w:szCs w:val="24"/>
          <w:lang w:eastAsia="el-GR"/>
        </w:rPr>
        <w:t xml:space="preserve"> πως δεν θα μπορέσει να ανταποκριθεί στις υποχρεώσεις </w:t>
      </w:r>
      <w:r w:rsidRPr="00004B00">
        <w:rPr>
          <w:rFonts w:ascii="Times New Roman" w:eastAsia="Times New Roman" w:hAnsi="Times New Roman" w:cs="Times New Roman"/>
          <w:sz w:val="24"/>
          <w:szCs w:val="24"/>
          <w:lang w:eastAsia="el-GR"/>
        </w:rPr>
        <w:t>σε</w:t>
      </w:r>
      <w:r w:rsidR="00533A92" w:rsidRPr="00004B00">
        <w:rPr>
          <w:rFonts w:ascii="Times New Roman" w:eastAsia="Times New Roman" w:hAnsi="Times New Roman" w:cs="Times New Roman"/>
          <w:sz w:val="24"/>
          <w:szCs w:val="24"/>
          <w:lang w:eastAsia="el-GR"/>
        </w:rPr>
        <w:t xml:space="preserve"> λογαριασμούς ενέργειες, το </w:t>
      </w:r>
      <w:r w:rsidRPr="00004B00">
        <w:rPr>
          <w:rFonts w:ascii="Times New Roman" w:eastAsia="Times New Roman" w:hAnsi="Times New Roman" w:cs="Times New Roman"/>
          <w:sz w:val="24"/>
          <w:szCs w:val="24"/>
          <w:lang w:eastAsia="el-GR"/>
        </w:rPr>
        <w:t xml:space="preserve">15,9% σε λοιπούς λογαριασμούς και το 16,9% στις υποχρεώσεις προς το πρώην ΙΚΑ.  </w:t>
      </w:r>
    </w:p>
    <w:bookmarkEnd w:id="22"/>
    <w:p w14:paraId="660E076C" w14:textId="7A6D8DBD" w:rsidR="00C9318F" w:rsidRPr="00E36734" w:rsidRDefault="00982B33" w:rsidP="007E56A7">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Γράφημα </w:t>
      </w:r>
      <w:r w:rsidR="006B67CA">
        <w:rPr>
          <w:rFonts w:ascii="Times New Roman" w:eastAsia="Times New Roman" w:hAnsi="Times New Roman" w:cs="Times New Roman"/>
          <w:b/>
          <w:sz w:val="24"/>
          <w:szCs w:val="24"/>
          <w:lang w:eastAsia="el-GR"/>
        </w:rPr>
        <w:t>23</w:t>
      </w:r>
    </w:p>
    <w:p w14:paraId="7A5FDF0E" w14:textId="682208D9" w:rsidR="00C703E3" w:rsidRPr="00E36734" w:rsidRDefault="00BA1D4B" w:rsidP="002103D0">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Επιχειρήσεις που εκτιμούν πως </w:t>
      </w:r>
      <w:r w:rsidRPr="00E36734">
        <w:rPr>
          <w:rFonts w:ascii="Times New Roman" w:eastAsia="Times New Roman" w:hAnsi="Times New Roman" w:cs="Times New Roman"/>
          <w:b/>
          <w:bCs/>
          <w:sz w:val="24"/>
          <w:szCs w:val="24"/>
          <w:u w:val="single"/>
          <w:lang w:eastAsia="el-GR"/>
        </w:rPr>
        <w:t>δεν</w:t>
      </w:r>
      <w:r w:rsidRPr="00E36734">
        <w:rPr>
          <w:rFonts w:ascii="Times New Roman" w:eastAsia="Times New Roman" w:hAnsi="Times New Roman" w:cs="Times New Roman"/>
          <w:b/>
          <w:bCs/>
          <w:sz w:val="24"/>
          <w:szCs w:val="24"/>
          <w:lang w:eastAsia="el-GR"/>
        </w:rPr>
        <w:t xml:space="preserve"> θα μπορέσουν να ανταποκριθούν στις υποχρεώσεις </w:t>
      </w:r>
      <w:r w:rsidR="00C703E3" w:rsidRPr="00E36734">
        <w:rPr>
          <w:rFonts w:ascii="Times New Roman" w:eastAsia="Times New Roman" w:hAnsi="Times New Roman" w:cs="Times New Roman"/>
          <w:b/>
          <w:bCs/>
          <w:sz w:val="24"/>
          <w:szCs w:val="24"/>
          <w:lang w:eastAsia="el-GR"/>
        </w:rPr>
        <w:t>τους</w:t>
      </w:r>
    </w:p>
    <w:p w14:paraId="6FD23DB4" w14:textId="35B4BC28" w:rsidR="00BA1D4B" w:rsidRPr="00E36734" w:rsidRDefault="00BA1D4B" w:rsidP="00BA1D4B">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ΣΥΓΚΡΙΤΙΚΟ ΓΡΑΦΗΜΑ </w:t>
      </w:r>
      <w:r w:rsidR="0024372F" w:rsidRPr="00E36734">
        <w:rPr>
          <w:rFonts w:ascii="Times New Roman" w:eastAsia="Times New Roman" w:hAnsi="Times New Roman" w:cs="Times New Roman"/>
          <w:b/>
          <w:bCs/>
          <w:sz w:val="24"/>
          <w:szCs w:val="24"/>
          <w:lang w:eastAsia="el-GR"/>
        </w:rPr>
        <w:t>ΙΟΥΛΙΟΣ</w:t>
      </w:r>
      <w:r w:rsidRPr="00E36734">
        <w:rPr>
          <w:rFonts w:ascii="Times New Roman" w:eastAsia="Times New Roman" w:hAnsi="Times New Roman" w:cs="Times New Roman"/>
          <w:b/>
          <w:bCs/>
          <w:sz w:val="24"/>
          <w:szCs w:val="24"/>
          <w:lang w:eastAsia="el-GR"/>
        </w:rPr>
        <w:t xml:space="preserve"> 2020</w:t>
      </w:r>
      <w:r w:rsidR="006733D8">
        <w:rPr>
          <w:rFonts w:ascii="Times New Roman" w:eastAsia="Times New Roman" w:hAnsi="Times New Roman" w:cs="Times New Roman"/>
          <w:b/>
          <w:bCs/>
          <w:sz w:val="24"/>
          <w:szCs w:val="24"/>
          <w:lang w:eastAsia="el-GR"/>
        </w:rPr>
        <w:t xml:space="preserve"> </w:t>
      </w:r>
      <w:r w:rsidR="00530A0F">
        <w:rPr>
          <w:rFonts w:ascii="Times New Roman" w:eastAsia="Times New Roman" w:hAnsi="Times New Roman" w:cs="Times New Roman"/>
          <w:b/>
          <w:bCs/>
          <w:sz w:val="24"/>
          <w:szCs w:val="24"/>
          <w:lang w:eastAsia="el-GR"/>
        </w:rPr>
        <w:t>– ΙΟΥΛΙΟΣ 2021</w:t>
      </w:r>
    </w:p>
    <w:p w14:paraId="6F96176D" w14:textId="77777777" w:rsidR="00BA1D4B" w:rsidRPr="00E36734" w:rsidRDefault="00BA1D4B" w:rsidP="00BA1D4B">
      <w:pPr>
        <w:spacing w:after="0" w:line="360" w:lineRule="auto"/>
        <w:jc w:val="center"/>
        <w:rPr>
          <w:rFonts w:ascii="Times New Roman" w:eastAsia="Times New Roman" w:hAnsi="Times New Roman" w:cs="Times New Roman"/>
          <w:b/>
          <w:bCs/>
          <w:sz w:val="24"/>
          <w:szCs w:val="24"/>
          <w:lang w:eastAsia="el-GR"/>
        </w:rPr>
      </w:pPr>
      <w:r w:rsidRPr="00E36734">
        <w:rPr>
          <w:noProof/>
          <w:lang w:val="en-US"/>
        </w:rPr>
        <mc:AlternateContent>
          <mc:Choice Requires="wps">
            <w:drawing>
              <wp:anchor distT="0" distB="0" distL="114300" distR="114300" simplePos="0" relativeHeight="251659264" behindDoc="0" locked="0" layoutInCell="1" allowOverlap="1" wp14:anchorId="638FAE15" wp14:editId="73A8071C">
                <wp:simplePos x="0" y="0"/>
                <wp:positionH relativeFrom="column">
                  <wp:posOffset>-635</wp:posOffset>
                </wp:positionH>
                <wp:positionV relativeFrom="paragraph">
                  <wp:posOffset>2857500</wp:posOffset>
                </wp:positionV>
                <wp:extent cx="4015740" cy="289560"/>
                <wp:effectExtent l="0" t="0" r="0" b="0"/>
                <wp:wrapNone/>
                <wp:docPr id="10" name="TextBox 8"/>
                <wp:cNvGraphicFramePr/>
                <a:graphic xmlns:a="http://schemas.openxmlformats.org/drawingml/2006/main">
                  <a:graphicData uri="http://schemas.microsoft.com/office/word/2010/wordprocessingShape">
                    <wps:wsp>
                      <wps:cNvSpPr txBox="1"/>
                      <wps:spPr>
                        <a:xfrm>
                          <a:off x="0" y="0"/>
                          <a:ext cx="4015740" cy="289560"/>
                        </a:xfrm>
                        <a:prstGeom prst="rect">
                          <a:avLst/>
                        </a:prstGeom>
                        <a:noFill/>
                      </wps:spPr>
                      <wps:txbx>
                        <w:txbxContent>
                          <w:p w14:paraId="4AE15E1C" w14:textId="77777777" w:rsidR="00FA5CFC" w:rsidRPr="00246CED" w:rsidRDefault="00FA5CFC" w:rsidP="00BA1D4B">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 αμειβόμενο προσωπικό και δάνειο αντίστοιχα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8FAE15" id="_x0000_s1029" type="#_x0000_t202" style="position:absolute;left:0;text-align:left;margin-left:-.05pt;margin-top:225pt;width:316.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" filled="f" stroked="f">
                <v:textbox>
                  <w:txbxContent>
                    <w:p w14:paraId="4AE15E1C" w14:textId="77777777" w:rsidR="00FA5CFC" w:rsidRPr="00246CED" w:rsidRDefault="00FA5CFC" w:rsidP="00BA1D4B">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 αμειβόμενο προσωπικό και δάνειο αντίστοιχα</w:t>
                      </w:r>
                    </w:p>
                  </w:txbxContent>
                </v:textbox>
              </v:shape>
            </w:pict>
          </mc:Fallback>
        </mc:AlternateContent>
      </w:r>
      <w:r w:rsidRPr="00E36734">
        <w:rPr>
          <w:rFonts w:ascii="Times New Roman" w:eastAsia="Times New Roman" w:hAnsi="Times New Roman" w:cs="Times New Roman"/>
          <w:b/>
          <w:bCs/>
          <w:noProof/>
          <w:sz w:val="16"/>
          <w:szCs w:val="16"/>
          <w:lang w:val="en-US"/>
        </w:rPr>
        <w:drawing>
          <wp:inline distT="0" distB="0" distL="0" distR="0" wp14:anchorId="6361137E" wp14:editId="7E81827D">
            <wp:extent cx="6570980" cy="3147060"/>
            <wp:effectExtent l="0" t="0" r="1270" b="15240"/>
            <wp:docPr id="14"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4BCC25" w14:textId="22D47C97" w:rsidR="00DF10BC" w:rsidRPr="00942D93" w:rsidRDefault="00DF10BC" w:rsidP="00DF10BC">
      <w:pPr>
        <w:spacing w:after="0" w:line="360" w:lineRule="auto"/>
        <w:jc w:val="both"/>
        <w:rPr>
          <w:rFonts w:ascii="Times New Roman" w:eastAsia="Times New Roman" w:hAnsi="Times New Roman" w:cs="Times New Roman"/>
          <w:sz w:val="24"/>
          <w:szCs w:val="24"/>
          <w:lang w:eastAsia="el-GR"/>
        </w:rPr>
      </w:pPr>
      <w:r w:rsidRPr="00942D93">
        <w:rPr>
          <w:rFonts w:ascii="Times New Roman" w:eastAsia="Times New Roman" w:hAnsi="Times New Roman" w:cs="Times New Roman"/>
          <w:sz w:val="24"/>
          <w:szCs w:val="24"/>
          <w:lang w:eastAsia="el-GR"/>
        </w:rPr>
        <w:t>Όσον αφορά τις επιχειρήσεις που έχουν αναστείλει τη λειτουργία τους με κρατική εντολή και τις επιχειρήσεις εστίασης</w:t>
      </w:r>
      <w:r w:rsidR="00FA5CFC">
        <w:rPr>
          <w:rFonts w:ascii="Times New Roman" w:eastAsia="Times New Roman" w:hAnsi="Times New Roman" w:cs="Times New Roman"/>
          <w:sz w:val="24"/>
          <w:szCs w:val="24"/>
          <w:lang w:eastAsia="el-GR"/>
        </w:rPr>
        <w:t>,</w:t>
      </w:r>
      <w:r w:rsidRPr="00942D93">
        <w:rPr>
          <w:rFonts w:ascii="Times New Roman" w:eastAsia="Times New Roman" w:hAnsi="Times New Roman" w:cs="Times New Roman"/>
          <w:sz w:val="24"/>
          <w:szCs w:val="24"/>
          <w:lang w:eastAsia="el-GR"/>
        </w:rPr>
        <w:t xml:space="preserve"> οι προοπτικές φαίνονται περισσότερο δυσοίωνες. </w:t>
      </w:r>
    </w:p>
    <w:p w14:paraId="58E380FB" w14:textId="77777777" w:rsidR="00DF10BC" w:rsidRPr="00942D93" w:rsidRDefault="00DF10BC" w:rsidP="00DF10BC">
      <w:pPr>
        <w:spacing w:after="0" w:line="360" w:lineRule="auto"/>
        <w:jc w:val="both"/>
        <w:rPr>
          <w:rFonts w:ascii="Times New Roman" w:eastAsia="Times New Roman" w:hAnsi="Times New Roman" w:cs="Times New Roman"/>
          <w:sz w:val="24"/>
          <w:szCs w:val="24"/>
          <w:lang w:eastAsia="el-GR"/>
        </w:rPr>
      </w:pPr>
      <w:r w:rsidRPr="00942D93">
        <w:rPr>
          <w:rFonts w:ascii="Times New Roman" w:eastAsia="Times New Roman" w:hAnsi="Times New Roman" w:cs="Times New Roman"/>
          <w:sz w:val="24"/>
          <w:szCs w:val="24"/>
          <w:lang w:eastAsia="el-GR"/>
        </w:rPr>
        <w:t xml:space="preserve">Ειδικότερα όσον αφορά τις επιχειρήσεις που ανέστειλαν τη λειτουργία τους με κρατική εντολή 1 στις 4 δηλώνει πως δεν θα μπορέσει να ανταποκριθεί: </w:t>
      </w:r>
    </w:p>
    <w:p w14:paraId="2AD7F959" w14:textId="77777777" w:rsidR="00DF10BC" w:rsidRPr="00942D93" w:rsidRDefault="00DF10BC" w:rsidP="00DF10BC">
      <w:pPr>
        <w:pStyle w:val="a5"/>
        <w:numPr>
          <w:ilvl w:val="0"/>
          <w:numId w:val="20"/>
        </w:numPr>
        <w:spacing w:after="0" w:line="360" w:lineRule="auto"/>
        <w:ind w:left="426"/>
        <w:jc w:val="both"/>
        <w:rPr>
          <w:rFonts w:ascii="Times New Roman" w:eastAsia="Times New Roman" w:hAnsi="Times New Roman" w:cs="Times New Roman"/>
          <w:sz w:val="24"/>
          <w:szCs w:val="24"/>
          <w:lang w:eastAsia="el-GR"/>
        </w:rPr>
      </w:pPr>
      <w:r w:rsidRPr="00942D93">
        <w:rPr>
          <w:rFonts w:ascii="Times New Roman" w:eastAsia="Times New Roman" w:hAnsi="Times New Roman" w:cs="Times New Roman"/>
          <w:sz w:val="24"/>
          <w:szCs w:val="24"/>
          <w:lang w:eastAsia="el-GR"/>
        </w:rPr>
        <w:lastRenderedPageBreak/>
        <w:t>στις υποχρεώσεις ενοικίου (26,7% των επιχειρήσεων που έχουν ενοίκιο)</w:t>
      </w:r>
    </w:p>
    <w:p w14:paraId="3A858ED8" w14:textId="77777777" w:rsidR="00DF10BC" w:rsidRPr="00942D93" w:rsidRDefault="00DF10BC" w:rsidP="00DF10BC">
      <w:pPr>
        <w:pStyle w:val="a5"/>
        <w:numPr>
          <w:ilvl w:val="0"/>
          <w:numId w:val="20"/>
        </w:numPr>
        <w:spacing w:after="0" w:line="360" w:lineRule="auto"/>
        <w:ind w:left="426"/>
        <w:jc w:val="both"/>
        <w:rPr>
          <w:rFonts w:ascii="Times New Roman" w:eastAsia="Times New Roman" w:hAnsi="Times New Roman" w:cs="Times New Roman"/>
          <w:sz w:val="24"/>
          <w:szCs w:val="24"/>
          <w:lang w:eastAsia="el-GR"/>
        </w:rPr>
      </w:pPr>
      <w:r w:rsidRPr="00942D93">
        <w:rPr>
          <w:rFonts w:ascii="Times New Roman" w:eastAsia="Times New Roman" w:hAnsi="Times New Roman" w:cs="Times New Roman"/>
          <w:sz w:val="24"/>
          <w:szCs w:val="24"/>
          <w:lang w:eastAsia="el-GR"/>
        </w:rPr>
        <w:t>στις υποχρεώσεις τους προς προμηθευτές (26,3%)</w:t>
      </w:r>
    </w:p>
    <w:p w14:paraId="30C5C132" w14:textId="77777777" w:rsidR="00DF10BC" w:rsidRPr="00942D93" w:rsidRDefault="00DF10BC" w:rsidP="00DF10BC">
      <w:pPr>
        <w:pStyle w:val="a5"/>
        <w:numPr>
          <w:ilvl w:val="0"/>
          <w:numId w:val="20"/>
        </w:numPr>
        <w:spacing w:after="0" w:line="360" w:lineRule="auto"/>
        <w:ind w:left="426"/>
        <w:jc w:val="both"/>
        <w:rPr>
          <w:rFonts w:ascii="Times New Roman" w:eastAsia="Times New Roman" w:hAnsi="Times New Roman" w:cs="Times New Roman"/>
          <w:sz w:val="24"/>
          <w:szCs w:val="24"/>
          <w:lang w:eastAsia="el-GR"/>
        </w:rPr>
      </w:pPr>
      <w:r w:rsidRPr="00942D93">
        <w:rPr>
          <w:rFonts w:ascii="Times New Roman" w:eastAsia="Times New Roman" w:hAnsi="Times New Roman" w:cs="Times New Roman"/>
          <w:sz w:val="24"/>
          <w:szCs w:val="24"/>
          <w:lang w:eastAsia="el-GR"/>
        </w:rPr>
        <w:t xml:space="preserve">στις υποχρεώσεις της προς τον πρώην ΟΑΕΕ (26,3%)  </w:t>
      </w:r>
    </w:p>
    <w:p w14:paraId="2D917501" w14:textId="77777777" w:rsidR="00DF10BC" w:rsidRPr="00942D93" w:rsidRDefault="00DF10BC" w:rsidP="00DF10BC">
      <w:pPr>
        <w:pStyle w:val="a5"/>
        <w:numPr>
          <w:ilvl w:val="0"/>
          <w:numId w:val="20"/>
        </w:numPr>
        <w:spacing w:after="0" w:line="360" w:lineRule="auto"/>
        <w:ind w:left="426"/>
        <w:jc w:val="both"/>
        <w:rPr>
          <w:rFonts w:ascii="Times New Roman" w:eastAsia="Times New Roman" w:hAnsi="Times New Roman" w:cs="Times New Roman"/>
          <w:sz w:val="24"/>
          <w:szCs w:val="24"/>
          <w:lang w:eastAsia="el-GR"/>
        </w:rPr>
      </w:pPr>
      <w:r w:rsidRPr="00942D93">
        <w:rPr>
          <w:rFonts w:ascii="Times New Roman" w:eastAsia="Times New Roman" w:hAnsi="Times New Roman" w:cs="Times New Roman"/>
          <w:sz w:val="24"/>
          <w:szCs w:val="24"/>
          <w:lang w:eastAsia="el-GR"/>
        </w:rPr>
        <w:t>στις φορολογικές της υποχρεώσεις (26,8%)</w:t>
      </w:r>
    </w:p>
    <w:p w14:paraId="40427909" w14:textId="77777777" w:rsidR="00DF10BC" w:rsidRPr="00942D93" w:rsidRDefault="00DF10BC" w:rsidP="00DF10BC">
      <w:pPr>
        <w:spacing w:after="0" w:line="360" w:lineRule="auto"/>
        <w:jc w:val="both"/>
        <w:rPr>
          <w:rFonts w:ascii="Times New Roman" w:eastAsia="Times New Roman" w:hAnsi="Times New Roman" w:cs="Times New Roman"/>
          <w:sz w:val="24"/>
          <w:szCs w:val="24"/>
          <w:lang w:eastAsia="el-GR"/>
        </w:rPr>
      </w:pPr>
      <w:r w:rsidRPr="00942D93">
        <w:rPr>
          <w:rFonts w:ascii="Times New Roman" w:eastAsia="Times New Roman" w:hAnsi="Times New Roman" w:cs="Times New Roman"/>
          <w:sz w:val="24"/>
          <w:szCs w:val="24"/>
          <w:lang w:eastAsia="el-GR"/>
        </w:rPr>
        <w:t xml:space="preserve">Χειρότερη είναι η εικόνα για τις επιχειρήσεις εστίασης καθώς </w:t>
      </w:r>
      <w:r>
        <w:rPr>
          <w:rFonts w:ascii="Times New Roman" w:eastAsia="Times New Roman" w:hAnsi="Times New Roman" w:cs="Times New Roman"/>
          <w:sz w:val="24"/>
          <w:szCs w:val="24"/>
          <w:lang w:eastAsia="el-GR"/>
        </w:rPr>
        <w:t>1 στις 3 δηλώνει πως το επόμενο εξάμηνο δεν θα μπορέσει να ανταποκριθεί :</w:t>
      </w:r>
    </w:p>
    <w:p w14:paraId="512A27A9" w14:textId="77777777" w:rsidR="00DF10BC" w:rsidRPr="00DF10BC" w:rsidRDefault="00DF10BC" w:rsidP="00DF10BC">
      <w:pPr>
        <w:pStyle w:val="a5"/>
        <w:numPr>
          <w:ilvl w:val="0"/>
          <w:numId w:val="13"/>
        </w:numPr>
        <w:spacing w:after="0" w:line="360" w:lineRule="auto"/>
        <w:rPr>
          <w:rFonts w:ascii="Times New Roman" w:eastAsia="Times New Roman" w:hAnsi="Times New Roman" w:cs="Times New Roman"/>
          <w:sz w:val="24"/>
          <w:szCs w:val="24"/>
          <w:lang w:eastAsia="el-GR"/>
        </w:rPr>
      </w:pPr>
      <w:r w:rsidRPr="00DF10BC">
        <w:rPr>
          <w:rFonts w:ascii="Times New Roman" w:eastAsia="Times New Roman" w:hAnsi="Times New Roman" w:cs="Times New Roman"/>
          <w:sz w:val="24"/>
          <w:szCs w:val="24"/>
          <w:lang w:eastAsia="el-GR"/>
        </w:rPr>
        <w:t>στις υποχρεώσεις ενοικίου (35,6% των επιχειρήσεων που έχουν ενοίκιο)</w:t>
      </w:r>
    </w:p>
    <w:p w14:paraId="59404C9E" w14:textId="77777777" w:rsidR="00DF10BC" w:rsidRPr="00DF10BC" w:rsidRDefault="00DF10BC" w:rsidP="00DF10BC">
      <w:pPr>
        <w:pStyle w:val="a5"/>
        <w:numPr>
          <w:ilvl w:val="0"/>
          <w:numId w:val="13"/>
        </w:numPr>
        <w:spacing w:after="0" w:line="360" w:lineRule="auto"/>
        <w:rPr>
          <w:rFonts w:ascii="Times New Roman" w:eastAsia="Times New Roman" w:hAnsi="Times New Roman" w:cs="Times New Roman"/>
          <w:sz w:val="24"/>
          <w:szCs w:val="24"/>
          <w:lang w:eastAsia="el-GR"/>
        </w:rPr>
      </w:pPr>
      <w:r w:rsidRPr="00DF10BC">
        <w:rPr>
          <w:rFonts w:ascii="Times New Roman" w:eastAsia="Times New Roman" w:hAnsi="Times New Roman" w:cs="Times New Roman"/>
          <w:sz w:val="24"/>
          <w:szCs w:val="24"/>
          <w:lang w:eastAsia="el-GR"/>
        </w:rPr>
        <w:t>στις υποχρεώσεις για λογαριασμούς ενέργειας (30,9%)</w:t>
      </w:r>
    </w:p>
    <w:p w14:paraId="12C83B84" w14:textId="77777777" w:rsidR="00DF10BC" w:rsidRPr="00DF10BC" w:rsidRDefault="00DF10BC" w:rsidP="00DF10BC">
      <w:pPr>
        <w:pStyle w:val="a5"/>
        <w:numPr>
          <w:ilvl w:val="0"/>
          <w:numId w:val="13"/>
        </w:numPr>
        <w:spacing w:after="0" w:line="360" w:lineRule="auto"/>
        <w:rPr>
          <w:rFonts w:ascii="Times New Roman" w:eastAsia="Times New Roman" w:hAnsi="Times New Roman" w:cs="Times New Roman"/>
          <w:sz w:val="24"/>
          <w:szCs w:val="24"/>
          <w:lang w:eastAsia="el-GR"/>
        </w:rPr>
      </w:pPr>
      <w:r w:rsidRPr="00DF10BC">
        <w:rPr>
          <w:rFonts w:ascii="Times New Roman" w:eastAsia="Times New Roman" w:hAnsi="Times New Roman" w:cs="Times New Roman"/>
          <w:sz w:val="24"/>
          <w:szCs w:val="24"/>
          <w:lang w:eastAsia="el-GR"/>
        </w:rPr>
        <w:t>στις υποχρεώσεις για λοιπούς λογαριασμούς (29,9%)</w:t>
      </w:r>
    </w:p>
    <w:p w14:paraId="26A002EF" w14:textId="77777777" w:rsidR="00DF10BC" w:rsidRPr="00DF10BC" w:rsidRDefault="00DF10BC" w:rsidP="00DF10BC">
      <w:pPr>
        <w:pStyle w:val="a5"/>
        <w:numPr>
          <w:ilvl w:val="0"/>
          <w:numId w:val="13"/>
        </w:numPr>
        <w:spacing w:after="0" w:line="360" w:lineRule="auto"/>
        <w:rPr>
          <w:rFonts w:ascii="Times New Roman" w:eastAsia="Times New Roman" w:hAnsi="Times New Roman" w:cs="Times New Roman"/>
          <w:sz w:val="24"/>
          <w:szCs w:val="24"/>
          <w:lang w:eastAsia="el-GR"/>
        </w:rPr>
      </w:pPr>
      <w:r w:rsidRPr="00DF10BC">
        <w:rPr>
          <w:rFonts w:ascii="Times New Roman" w:eastAsia="Times New Roman" w:hAnsi="Times New Roman" w:cs="Times New Roman"/>
          <w:sz w:val="24"/>
          <w:szCs w:val="24"/>
          <w:lang w:eastAsia="el-GR"/>
        </w:rPr>
        <w:t>στις υποχρεώσεις προς προμηθευτές (35,6%)</w:t>
      </w:r>
    </w:p>
    <w:p w14:paraId="639D4557" w14:textId="77777777" w:rsidR="00DF10BC" w:rsidRPr="00DF10BC" w:rsidRDefault="00DF10BC" w:rsidP="00DF10BC">
      <w:pPr>
        <w:pStyle w:val="a5"/>
        <w:numPr>
          <w:ilvl w:val="0"/>
          <w:numId w:val="13"/>
        </w:numPr>
        <w:spacing w:after="0" w:line="360" w:lineRule="auto"/>
        <w:rPr>
          <w:rFonts w:ascii="Times New Roman" w:eastAsia="Times New Roman" w:hAnsi="Times New Roman" w:cs="Times New Roman"/>
          <w:sz w:val="24"/>
          <w:szCs w:val="24"/>
          <w:lang w:eastAsia="el-GR"/>
        </w:rPr>
      </w:pPr>
      <w:r w:rsidRPr="00DF10BC">
        <w:rPr>
          <w:rFonts w:ascii="Times New Roman" w:eastAsia="Times New Roman" w:hAnsi="Times New Roman" w:cs="Times New Roman"/>
          <w:sz w:val="24"/>
          <w:szCs w:val="24"/>
          <w:lang w:eastAsia="el-GR"/>
        </w:rPr>
        <w:t>στις υποχρεώσεις προς το πρώην ΙΚΑ (28,9%)</w:t>
      </w:r>
    </w:p>
    <w:p w14:paraId="237A157D" w14:textId="77777777" w:rsidR="00DF10BC" w:rsidRPr="00DF10BC" w:rsidRDefault="00DF10BC" w:rsidP="00DF10BC">
      <w:pPr>
        <w:pStyle w:val="a5"/>
        <w:numPr>
          <w:ilvl w:val="0"/>
          <w:numId w:val="13"/>
        </w:numPr>
        <w:spacing w:after="0" w:line="360" w:lineRule="auto"/>
        <w:rPr>
          <w:rFonts w:ascii="Times New Roman" w:eastAsia="Times New Roman" w:hAnsi="Times New Roman" w:cs="Times New Roman"/>
          <w:sz w:val="24"/>
          <w:szCs w:val="24"/>
          <w:lang w:eastAsia="el-GR"/>
        </w:rPr>
      </w:pPr>
      <w:r w:rsidRPr="00DF10BC">
        <w:rPr>
          <w:rFonts w:ascii="Times New Roman" w:eastAsia="Times New Roman" w:hAnsi="Times New Roman" w:cs="Times New Roman"/>
          <w:sz w:val="24"/>
          <w:szCs w:val="24"/>
          <w:lang w:eastAsia="el-GR"/>
        </w:rPr>
        <w:t xml:space="preserve">στις υποχρεώσεις προς τον πρώην ΟΑΕΕ (31,9%) </w:t>
      </w:r>
    </w:p>
    <w:p w14:paraId="1D97320E" w14:textId="77777777" w:rsidR="00DF10BC" w:rsidRPr="00DF10BC" w:rsidRDefault="00DF10BC" w:rsidP="00DF10BC">
      <w:pPr>
        <w:pStyle w:val="a5"/>
        <w:numPr>
          <w:ilvl w:val="0"/>
          <w:numId w:val="13"/>
        </w:numPr>
        <w:spacing w:after="0" w:line="360" w:lineRule="auto"/>
        <w:rPr>
          <w:rFonts w:ascii="Times New Roman" w:eastAsia="Times New Roman" w:hAnsi="Times New Roman" w:cs="Times New Roman"/>
          <w:sz w:val="24"/>
          <w:szCs w:val="24"/>
          <w:lang w:eastAsia="el-GR"/>
        </w:rPr>
      </w:pPr>
      <w:r w:rsidRPr="00DF10BC">
        <w:rPr>
          <w:rFonts w:ascii="Times New Roman" w:eastAsia="Times New Roman" w:hAnsi="Times New Roman" w:cs="Times New Roman"/>
          <w:sz w:val="24"/>
          <w:szCs w:val="24"/>
          <w:lang w:eastAsia="el-GR"/>
        </w:rPr>
        <w:t>στις φορολογικές υποχρεώσεις (31,9%)</w:t>
      </w:r>
    </w:p>
    <w:p w14:paraId="11BA8C44" w14:textId="048D7D9C" w:rsidR="00DF10BC" w:rsidRPr="00DF10BC" w:rsidRDefault="00DF10BC" w:rsidP="00761263">
      <w:pPr>
        <w:spacing w:after="0" w:line="360" w:lineRule="auto"/>
        <w:jc w:val="both"/>
        <w:rPr>
          <w:rFonts w:ascii="Times New Roman" w:eastAsia="Times New Roman" w:hAnsi="Times New Roman" w:cs="Times New Roman"/>
          <w:bCs/>
          <w:sz w:val="24"/>
          <w:szCs w:val="24"/>
          <w:lang w:eastAsia="el-GR"/>
        </w:rPr>
      </w:pPr>
      <w:r w:rsidRPr="00DF10BC">
        <w:rPr>
          <w:rFonts w:ascii="Times New Roman" w:eastAsia="Times New Roman" w:hAnsi="Times New Roman" w:cs="Times New Roman"/>
          <w:bCs/>
          <w:sz w:val="24"/>
          <w:szCs w:val="24"/>
          <w:lang w:eastAsia="el-GR"/>
        </w:rPr>
        <w:t>Τα παραπάνω στοιχεία υποδηλώνουν ότι πιθανόν το επόμενο διάστημα να πρέπει να ληφθούν επιπρόσθετα μέτρα στήριξης των επιχειρήσεων που ανέστειλαν τη λειτουργία τους με κρατική εντολή και ιδιαίτερα των επιχειρήσεων εστίασης που οι εκτεταμένοι περιορισμοί που έχουν υιοθετηθεί</w:t>
      </w:r>
      <w:r>
        <w:rPr>
          <w:rFonts w:ascii="Times New Roman" w:eastAsia="Times New Roman" w:hAnsi="Times New Roman" w:cs="Times New Roman"/>
          <w:bCs/>
          <w:sz w:val="24"/>
          <w:szCs w:val="24"/>
          <w:lang w:eastAsia="el-GR"/>
        </w:rPr>
        <w:t xml:space="preserve"> για την λειτουργία τους μειώνουν τη δυνατότητα τους να ανταπεξέλθουν στο σύνολο των υποχρεώσεων τους. </w:t>
      </w:r>
    </w:p>
    <w:p w14:paraId="74D92ACC" w14:textId="4DC39EFF" w:rsidR="00DF10BC" w:rsidRDefault="00DF10BC" w:rsidP="00761263">
      <w:pPr>
        <w:spacing w:after="0" w:line="360" w:lineRule="auto"/>
        <w:jc w:val="both"/>
        <w:rPr>
          <w:rFonts w:ascii="Times New Roman" w:eastAsia="Times New Roman" w:hAnsi="Times New Roman" w:cs="Times New Roman"/>
          <w:bCs/>
          <w:sz w:val="24"/>
          <w:szCs w:val="24"/>
          <w:lang w:eastAsia="el-GR"/>
        </w:rPr>
      </w:pPr>
    </w:p>
    <w:p w14:paraId="3DFA713F" w14:textId="3CA3D96E" w:rsidR="000A34B1" w:rsidRPr="00E36734" w:rsidRDefault="000A34B1" w:rsidP="00761263">
      <w:pPr>
        <w:spacing w:after="0" w:line="360" w:lineRule="auto"/>
        <w:jc w:val="both"/>
        <w:rPr>
          <w:rFonts w:ascii="Times New Roman" w:eastAsia="Times New Roman" w:hAnsi="Times New Roman" w:cs="Times New Roman"/>
          <w:b/>
          <w:sz w:val="24"/>
          <w:szCs w:val="24"/>
          <w:u w:val="single"/>
          <w:lang w:eastAsia="el-GR"/>
        </w:rPr>
      </w:pPr>
      <w:r w:rsidRPr="00E36734">
        <w:rPr>
          <w:rFonts w:ascii="Times New Roman" w:eastAsia="Times New Roman" w:hAnsi="Times New Roman" w:cs="Times New Roman"/>
          <w:b/>
          <w:sz w:val="24"/>
          <w:szCs w:val="24"/>
          <w:u w:val="single"/>
          <w:lang w:eastAsia="el-GR"/>
        </w:rPr>
        <w:t>Βιωσιμότητα επιχειρήσεων</w:t>
      </w:r>
    </w:p>
    <w:p w14:paraId="6F582328" w14:textId="31CE89BA" w:rsidR="00C55E51" w:rsidRPr="00C55E51" w:rsidRDefault="00C55E51" w:rsidP="00761263">
      <w:pPr>
        <w:spacing w:after="0" w:line="360" w:lineRule="auto"/>
        <w:jc w:val="both"/>
        <w:rPr>
          <w:rFonts w:ascii="Times New Roman" w:eastAsia="Times New Roman" w:hAnsi="Times New Roman" w:cs="Times New Roman"/>
          <w:sz w:val="24"/>
          <w:szCs w:val="24"/>
          <w:lang w:eastAsia="el-GR"/>
        </w:rPr>
      </w:pPr>
      <w:r w:rsidRPr="00C55E51">
        <w:rPr>
          <w:rFonts w:ascii="Times New Roman" w:eastAsia="Times New Roman" w:hAnsi="Times New Roman" w:cs="Times New Roman"/>
          <w:sz w:val="24"/>
          <w:szCs w:val="24"/>
          <w:lang w:eastAsia="el-GR"/>
        </w:rPr>
        <w:t xml:space="preserve">Παρά τη βελτίωση των οικονομικών δεικτών που καταγράφεται στην έρευνα οικονομικού κλίματος των μικρών και πολύ μικρών επιχειρήσεων και υποδεικνύει πως δημιουργούνται προϋποθέσεις για την ανάκαμψη των επιχειρήσεων και της οικονομίας, το ποσοστό των επιχειρήσεων που εκφράζει τον φόβο για ενδεχόμενη διακοπή της δραστηριότητας του το επόμενο διάστημα παραμένει σε πολύ υψηλό επίπεδο. </w:t>
      </w:r>
    </w:p>
    <w:p w14:paraId="5B866B11" w14:textId="2638008C" w:rsidR="00C55E51" w:rsidRPr="00C55E51" w:rsidRDefault="00C55E51" w:rsidP="00761263">
      <w:pPr>
        <w:spacing w:after="0" w:line="360" w:lineRule="auto"/>
        <w:jc w:val="both"/>
        <w:rPr>
          <w:rFonts w:ascii="Times New Roman" w:eastAsia="Times New Roman" w:hAnsi="Times New Roman" w:cs="Times New Roman"/>
          <w:sz w:val="24"/>
          <w:szCs w:val="24"/>
          <w:lang w:eastAsia="el-GR"/>
        </w:rPr>
      </w:pPr>
      <w:r w:rsidRPr="00C55E51">
        <w:rPr>
          <w:rFonts w:ascii="Times New Roman" w:eastAsia="Times New Roman" w:hAnsi="Times New Roman" w:cs="Times New Roman"/>
          <w:sz w:val="24"/>
          <w:szCs w:val="24"/>
          <w:lang w:eastAsia="el-GR"/>
        </w:rPr>
        <w:t xml:space="preserve">Ειδικότερα το </w:t>
      </w:r>
      <w:r>
        <w:rPr>
          <w:rFonts w:ascii="Times New Roman" w:eastAsia="Times New Roman" w:hAnsi="Times New Roman" w:cs="Times New Roman"/>
          <w:sz w:val="24"/>
          <w:szCs w:val="24"/>
          <w:lang w:eastAsia="el-GR"/>
        </w:rPr>
        <w:t>15,3% των επιχειρήσεων δηλώνει πως είναι πολύ πιθανό να διακόψει την δραστηριότητα το επόμενο διάστημα και το 21,4% αρκετά πιθανό. Από τις επιχειρήσεις αυτές</w:t>
      </w:r>
      <w:r w:rsidR="00BB750E">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11,2% δηλώνει πως θα διακόψει τη λειτουργία του το επόμενο τρίμηνο, 39,7% το επόμενο εξάμηνο και το 48,1% αργότερα. Αθροιστικά</w:t>
      </w:r>
      <w:r w:rsidR="00BB750E">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το 36,7% των μικρών και πολύ μικρών επιχειρήσεων δηλών</w:t>
      </w:r>
      <w:r w:rsidR="00991A74">
        <w:rPr>
          <w:rFonts w:ascii="Times New Roman" w:eastAsia="Times New Roman" w:hAnsi="Times New Roman" w:cs="Times New Roman"/>
          <w:sz w:val="24"/>
          <w:szCs w:val="24"/>
          <w:lang w:eastAsia="el-GR"/>
        </w:rPr>
        <w:t>ει πως είναι πολύ ή αρκετά πιθανό να διακόψει τη δραστηριότητα του το επόμενο διάστημα, έναντι του 38,2% που είχε καταγραφεί στην αντίστοιχη έρευνα του Φεβρουαρίου του 2021 και του 32,7% που είχε καταγραφεί στην έρευνα του Ιουλίου του 2020 (Γράφημα 24).</w:t>
      </w:r>
    </w:p>
    <w:p w14:paraId="6BF64CC3" w14:textId="77777777" w:rsidR="00117974" w:rsidRPr="00E36734" w:rsidRDefault="00117974"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hAnsi="Times New Roman" w:cs="Times New Roman"/>
          <w:noProof/>
          <w:sz w:val="24"/>
          <w:szCs w:val="24"/>
          <w:lang w:val="en-US"/>
        </w:rPr>
        <w:lastRenderedPageBreak/>
        <w:drawing>
          <wp:inline distT="0" distB="0" distL="0" distR="0" wp14:anchorId="4942C58A" wp14:editId="0FB763E7">
            <wp:extent cx="6391275" cy="3870960"/>
            <wp:effectExtent l="0" t="0" r="9525" b="15240"/>
            <wp:docPr id="22"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EB6BA46" w14:textId="000FCF58" w:rsidR="00D96200" w:rsidRPr="00D96200" w:rsidRDefault="00D96200" w:rsidP="00487FB4">
      <w:pPr>
        <w:spacing w:after="0" w:line="360" w:lineRule="auto"/>
        <w:jc w:val="both"/>
        <w:rPr>
          <w:rFonts w:ascii="Times New Roman" w:eastAsia="Times New Roman" w:hAnsi="Times New Roman" w:cs="Times New Roman"/>
          <w:sz w:val="24"/>
          <w:szCs w:val="24"/>
          <w:lang w:eastAsia="el-GR"/>
        </w:rPr>
      </w:pPr>
      <w:r w:rsidRPr="00D96200">
        <w:rPr>
          <w:rFonts w:ascii="Times New Roman" w:eastAsia="Times New Roman" w:hAnsi="Times New Roman" w:cs="Times New Roman"/>
          <w:sz w:val="24"/>
          <w:szCs w:val="24"/>
          <w:lang w:eastAsia="el-GR"/>
        </w:rPr>
        <w:t xml:space="preserve">Στα επιμέρους στοιχεία τα υψηλότερα </w:t>
      </w:r>
      <w:r w:rsidRPr="000815D3">
        <w:rPr>
          <w:rFonts w:ascii="Times New Roman" w:eastAsia="Times New Roman" w:hAnsi="Times New Roman" w:cs="Times New Roman"/>
          <w:color w:val="FF0000"/>
          <w:sz w:val="24"/>
          <w:szCs w:val="24"/>
          <w:lang w:eastAsia="el-GR"/>
        </w:rPr>
        <w:t>ποσοστ</w:t>
      </w:r>
      <w:r w:rsidR="00BB750E" w:rsidRPr="000815D3">
        <w:rPr>
          <w:rFonts w:ascii="Times New Roman" w:eastAsia="Times New Roman" w:hAnsi="Times New Roman" w:cs="Times New Roman"/>
          <w:color w:val="FF0000"/>
          <w:sz w:val="24"/>
          <w:szCs w:val="24"/>
          <w:lang w:eastAsia="el-GR"/>
        </w:rPr>
        <w:t>ά</w:t>
      </w:r>
      <w:r w:rsidRPr="000815D3">
        <w:rPr>
          <w:rFonts w:ascii="Times New Roman" w:eastAsia="Times New Roman" w:hAnsi="Times New Roman" w:cs="Times New Roman"/>
          <w:color w:val="FF0000"/>
          <w:sz w:val="24"/>
          <w:szCs w:val="24"/>
          <w:lang w:eastAsia="el-GR"/>
        </w:rPr>
        <w:t xml:space="preserve"> </w:t>
      </w:r>
      <w:r w:rsidRPr="00D96200">
        <w:rPr>
          <w:rFonts w:ascii="Times New Roman" w:eastAsia="Times New Roman" w:hAnsi="Times New Roman" w:cs="Times New Roman"/>
          <w:sz w:val="24"/>
          <w:szCs w:val="24"/>
          <w:lang w:eastAsia="el-GR"/>
        </w:rPr>
        <w:t xml:space="preserve">διακοπής της επιχειρηματικής δραστηριότητας καταγράφουν οι μικρότερες με βάση τον </w:t>
      </w:r>
      <w:r w:rsidR="00BB750E">
        <w:rPr>
          <w:rFonts w:ascii="Times New Roman" w:hAnsi="Times New Roman" w:cs="Times New Roman"/>
          <w:sz w:val="24"/>
          <w:szCs w:val="24"/>
        </w:rPr>
        <w:t>κύκλο εργασιών</w:t>
      </w:r>
      <w:r w:rsidRPr="00D96200">
        <w:rPr>
          <w:rFonts w:ascii="Times New Roman" w:eastAsia="Times New Roman" w:hAnsi="Times New Roman" w:cs="Times New Roman"/>
          <w:sz w:val="24"/>
          <w:szCs w:val="24"/>
          <w:lang w:eastAsia="el-GR"/>
        </w:rPr>
        <w:t xml:space="preserve"> (κάτω από 50.000 €) (51,3%) και τον αριθμό εργαζομένων (χωρίς προσωπικό) (51,6%) επιχειρήσεις. </w:t>
      </w:r>
    </w:p>
    <w:p w14:paraId="499CA621" w14:textId="366CB47F" w:rsidR="00344F20" w:rsidRDefault="00E31104" w:rsidP="00143079">
      <w:pPr>
        <w:spacing w:after="0" w:line="360" w:lineRule="auto"/>
        <w:jc w:val="both"/>
        <w:rPr>
          <w:rFonts w:ascii="Times New Roman" w:eastAsia="Times New Roman" w:hAnsi="Times New Roman" w:cs="Times New Roman"/>
          <w:bCs/>
          <w:sz w:val="24"/>
          <w:szCs w:val="24"/>
          <w:lang w:eastAsia="el-GR"/>
        </w:rPr>
      </w:pPr>
      <w:r w:rsidRPr="00D96200">
        <w:rPr>
          <w:rFonts w:ascii="Times New Roman" w:eastAsia="Times New Roman" w:hAnsi="Times New Roman" w:cs="Times New Roman"/>
          <w:bCs/>
          <w:sz w:val="24"/>
          <w:szCs w:val="24"/>
          <w:lang w:eastAsia="el-GR"/>
        </w:rPr>
        <w:t xml:space="preserve">Εξαιρετικά </w:t>
      </w:r>
      <w:r w:rsidR="00E445BB" w:rsidRPr="00D96200">
        <w:rPr>
          <w:rFonts w:ascii="Times New Roman" w:eastAsia="Times New Roman" w:hAnsi="Times New Roman" w:cs="Times New Roman"/>
          <w:bCs/>
          <w:sz w:val="24"/>
          <w:szCs w:val="24"/>
          <w:lang w:eastAsia="el-GR"/>
        </w:rPr>
        <w:t>δυσοίωνη</w:t>
      </w:r>
      <w:r w:rsidRPr="00D96200">
        <w:rPr>
          <w:rFonts w:ascii="Times New Roman" w:eastAsia="Times New Roman" w:hAnsi="Times New Roman" w:cs="Times New Roman"/>
          <w:bCs/>
          <w:sz w:val="24"/>
          <w:szCs w:val="24"/>
          <w:lang w:eastAsia="el-GR"/>
        </w:rPr>
        <w:t xml:space="preserve"> </w:t>
      </w:r>
      <w:r w:rsidR="00D96200" w:rsidRPr="00D96200">
        <w:rPr>
          <w:rFonts w:ascii="Times New Roman" w:eastAsia="Times New Roman" w:hAnsi="Times New Roman" w:cs="Times New Roman"/>
          <w:bCs/>
          <w:sz w:val="24"/>
          <w:szCs w:val="24"/>
          <w:lang w:eastAsia="el-GR"/>
        </w:rPr>
        <w:t>παραμένει</w:t>
      </w:r>
      <w:r w:rsidRPr="00D96200">
        <w:rPr>
          <w:rFonts w:ascii="Times New Roman" w:eastAsia="Times New Roman" w:hAnsi="Times New Roman" w:cs="Times New Roman"/>
          <w:bCs/>
          <w:sz w:val="24"/>
          <w:szCs w:val="24"/>
          <w:lang w:eastAsia="el-GR"/>
        </w:rPr>
        <w:t xml:space="preserve"> η </w:t>
      </w:r>
      <w:r w:rsidR="00E445BB" w:rsidRPr="00D96200">
        <w:rPr>
          <w:rFonts w:ascii="Times New Roman" w:eastAsia="Times New Roman" w:hAnsi="Times New Roman" w:cs="Times New Roman"/>
          <w:bCs/>
          <w:sz w:val="24"/>
          <w:szCs w:val="24"/>
          <w:lang w:eastAsia="el-GR"/>
        </w:rPr>
        <w:t>κατάσταση</w:t>
      </w:r>
      <w:r w:rsidRPr="00D96200">
        <w:rPr>
          <w:rFonts w:ascii="Times New Roman" w:eastAsia="Times New Roman" w:hAnsi="Times New Roman" w:cs="Times New Roman"/>
          <w:bCs/>
          <w:sz w:val="24"/>
          <w:szCs w:val="24"/>
          <w:lang w:eastAsia="el-GR"/>
        </w:rPr>
        <w:t xml:space="preserve"> ως προς τη βιωσιμότητα </w:t>
      </w:r>
      <w:r w:rsidR="00E445BB" w:rsidRPr="00D96200">
        <w:rPr>
          <w:rFonts w:ascii="Times New Roman" w:eastAsia="Times New Roman" w:hAnsi="Times New Roman" w:cs="Times New Roman"/>
          <w:bCs/>
          <w:sz w:val="24"/>
          <w:szCs w:val="24"/>
          <w:lang w:eastAsia="el-GR"/>
        </w:rPr>
        <w:t>των</w:t>
      </w:r>
      <w:r w:rsidRPr="00D96200">
        <w:rPr>
          <w:rFonts w:ascii="Times New Roman" w:eastAsia="Times New Roman" w:hAnsi="Times New Roman" w:cs="Times New Roman"/>
          <w:bCs/>
          <w:sz w:val="24"/>
          <w:szCs w:val="24"/>
          <w:lang w:eastAsia="el-GR"/>
        </w:rPr>
        <w:t xml:space="preserve"> </w:t>
      </w:r>
      <w:r w:rsidR="00E445BB" w:rsidRPr="00D96200">
        <w:rPr>
          <w:rFonts w:ascii="Times New Roman" w:eastAsia="Times New Roman" w:hAnsi="Times New Roman" w:cs="Times New Roman"/>
          <w:bCs/>
          <w:sz w:val="24"/>
          <w:szCs w:val="24"/>
          <w:lang w:eastAsia="el-GR"/>
        </w:rPr>
        <w:t>επιχειρήσεων</w:t>
      </w:r>
      <w:r w:rsidRPr="00D96200">
        <w:rPr>
          <w:rFonts w:ascii="Times New Roman" w:eastAsia="Times New Roman" w:hAnsi="Times New Roman" w:cs="Times New Roman"/>
          <w:bCs/>
          <w:sz w:val="24"/>
          <w:szCs w:val="24"/>
          <w:lang w:eastAsia="el-GR"/>
        </w:rPr>
        <w:t xml:space="preserve"> που έχουν </w:t>
      </w:r>
      <w:r w:rsidR="00E445BB" w:rsidRPr="00D96200">
        <w:rPr>
          <w:rFonts w:ascii="Times New Roman" w:eastAsia="Times New Roman" w:hAnsi="Times New Roman" w:cs="Times New Roman"/>
          <w:bCs/>
          <w:sz w:val="24"/>
          <w:szCs w:val="24"/>
          <w:lang w:eastAsia="el-GR"/>
        </w:rPr>
        <w:t>αναστείλει</w:t>
      </w:r>
      <w:r w:rsidRPr="00D96200">
        <w:rPr>
          <w:rFonts w:ascii="Times New Roman" w:eastAsia="Times New Roman" w:hAnsi="Times New Roman" w:cs="Times New Roman"/>
          <w:bCs/>
          <w:sz w:val="24"/>
          <w:szCs w:val="24"/>
          <w:lang w:eastAsia="el-GR"/>
        </w:rPr>
        <w:t xml:space="preserve"> τη λειτουργία τους με κρατική εντολή. Συγκεκριμένα</w:t>
      </w:r>
      <w:r w:rsidR="00BB750E">
        <w:rPr>
          <w:rFonts w:ascii="Times New Roman" w:eastAsia="Times New Roman" w:hAnsi="Times New Roman" w:cs="Times New Roman"/>
          <w:bCs/>
          <w:sz w:val="24"/>
          <w:szCs w:val="24"/>
          <w:lang w:eastAsia="el-GR"/>
        </w:rPr>
        <w:t>,</w:t>
      </w:r>
      <w:r w:rsidRPr="00D96200">
        <w:rPr>
          <w:rFonts w:ascii="Times New Roman" w:eastAsia="Times New Roman" w:hAnsi="Times New Roman" w:cs="Times New Roman"/>
          <w:bCs/>
          <w:sz w:val="24"/>
          <w:szCs w:val="24"/>
          <w:lang w:eastAsia="el-GR"/>
        </w:rPr>
        <w:t xml:space="preserve"> </w:t>
      </w:r>
      <w:r w:rsidR="00D96200" w:rsidRPr="00D96200">
        <w:rPr>
          <w:rFonts w:ascii="Times New Roman" w:eastAsia="Times New Roman" w:hAnsi="Times New Roman" w:cs="Times New Roman"/>
          <w:bCs/>
          <w:sz w:val="24"/>
          <w:szCs w:val="24"/>
          <w:lang w:eastAsia="el-GR"/>
        </w:rPr>
        <w:t>οι</w:t>
      </w:r>
      <w:r w:rsidRPr="00D96200">
        <w:rPr>
          <w:rFonts w:ascii="Times New Roman" w:eastAsia="Times New Roman" w:hAnsi="Times New Roman" w:cs="Times New Roman"/>
          <w:bCs/>
          <w:sz w:val="24"/>
          <w:szCs w:val="24"/>
          <w:lang w:eastAsia="el-GR"/>
        </w:rPr>
        <w:t xml:space="preserve"> </w:t>
      </w:r>
      <w:r w:rsidR="00E445BB" w:rsidRPr="00D96200">
        <w:rPr>
          <w:rFonts w:ascii="Times New Roman" w:eastAsia="Times New Roman" w:hAnsi="Times New Roman" w:cs="Times New Roman"/>
          <w:bCs/>
          <w:sz w:val="24"/>
          <w:szCs w:val="24"/>
          <w:lang w:eastAsia="el-GR"/>
        </w:rPr>
        <w:t>μισές</w:t>
      </w:r>
      <w:r w:rsidRPr="00D96200">
        <w:rPr>
          <w:rFonts w:ascii="Times New Roman" w:eastAsia="Times New Roman" w:hAnsi="Times New Roman" w:cs="Times New Roman"/>
          <w:bCs/>
          <w:sz w:val="24"/>
          <w:szCs w:val="24"/>
          <w:lang w:eastAsia="el-GR"/>
        </w:rPr>
        <w:t xml:space="preserve"> επιχειρήσεις </w:t>
      </w:r>
      <w:r w:rsidR="00E445BB" w:rsidRPr="00D96200">
        <w:rPr>
          <w:rFonts w:ascii="Times New Roman" w:eastAsia="Times New Roman" w:hAnsi="Times New Roman" w:cs="Times New Roman"/>
          <w:bCs/>
          <w:sz w:val="24"/>
          <w:szCs w:val="24"/>
          <w:lang w:eastAsia="el-GR"/>
        </w:rPr>
        <w:t>(5</w:t>
      </w:r>
      <w:r w:rsidR="00D96200" w:rsidRPr="00D96200">
        <w:rPr>
          <w:rFonts w:ascii="Times New Roman" w:eastAsia="Times New Roman" w:hAnsi="Times New Roman" w:cs="Times New Roman"/>
          <w:bCs/>
          <w:sz w:val="24"/>
          <w:szCs w:val="24"/>
          <w:lang w:eastAsia="el-GR"/>
        </w:rPr>
        <w:t>0</w:t>
      </w:r>
      <w:r w:rsidR="00E445BB" w:rsidRPr="00D96200">
        <w:rPr>
          <w:rFonts w:ascii="Times New Roman" w:eastAsia="Times New Roman" w:hAnsi="Times New Roman" w:cs="Times New Roman"/>
          <w:bCs/>
          <w:sz w:val="24"/>
          <w:szCs w:val="24"/>
          <w:lang w:eastAsia="el-GR"/>
        </w:rPr>
        <w:t xml:space="preserve">,9%) </w:t>
      </w:r>
      <w:r w:rsidRPr="00D96200">
        <w:rPr>
          <w:rFonts w:ascii="Times New Roman" w:eastAsia="Times New Roman" w:hAnsi="Times New Roman" w:cs="Times New Roman"/>
          <w:bCs/>
          <w:sz w:val="24"/>
          <w:szCs w:val="24"/>
          <w:lang w:eastAsia="el-GR"/>
        </w:rPr>
        <w:t xml:space="preserve">που έχουν τεθεί σε αναστολή </w:t>
      </w:r>
      <w:r w:rsidR="00E445BB" w:rsidRPr="00D96200">
        <w:rPr>
          <w:rFonts w:ascii="Times New Roman" w:eastAsia="Times New Roman" w:hAnsi="Times New Roman" w:cs="Times New Roman"/>
          <w:bCs/>
          <w:sz w:val="24"/>
          <w:szCs w:val="24"/>
          <w:lang w:eastAsia="el-GR"/>
        </w:rPr>
        <w:t>λειτουργίας</w:t>
      </w:r>
      <w:r w:rsidRPr="00D96200">
        <w:rPr>
          <w:rFonts w:ascii="Times New Roman" w:eastAsia="Times New Roman" w:hAnsi="Times New Roman" w:cs="Times New Roman"/>
          <w:bCs/>
          <w:sz w:val="24"/>
          <w:szCs w:val="24"/>
          <w:lang w:eastAsia="el-GR"/>
        </w:rPr>
        <w:t xml:space="preserve"> </w:t>
      </w:r>
      <w:r w:rsidR="00E445BB" w:rsidRPr="00D96200">
        <w:rPr>
          <w:rFonts w:ascii="Times New Roman" w:eastAsia="Times New Roman" w:hAnsi="Times New Roman" w:cs="Times New Roman"/>
          <w:bCs/>
          <w:sz w:val="24"/>
          <w:szCs w:val="24"/>
          <w:lang w:eastAsia="el-GR"/>
        </w:rPr>
        <w:t>εκφράζουν το φόβο πως θα διακόψουν την λειτουργία τους το επόμενο διάστημα. Αντίστοιχα είναι και τα στοιχεία για τις επιχειρήσεις εστίασης</w:t>
      </w:r>
      <w:r w:rsidR="00D96200" w:rsidRPr="00D96200">
        <w:rPr>
          <w:rFonts w:ascii="Times New Roman" w:eastAsia="Times New Roman" w:hAnsi="Times New Roman" w:cs="Times New Roman"/>
          <w:bCs/>
          <w:sz w:val="24"/>
          <w:szCs w:val="24"/>
          <w:lang w:eastAsia="el-GR"/>
        </w:rPr>
        <w:t xml:space="preserve"> (48,5%)</w:t>
      </w:r>
      <w:r w:rsidR="00511E73">
        <w:rPr>
          <w:rFonts w:ascii="Times New Roman" w:eastAsia="Times New Roman" w:hAnsi="Times New Roman" w:cs="Times New Roman"/>
          <w:bCs/>
          <w:sz w:val="24"/>
          <w:szCs w:val="24"/>
          <w:lang w:eastAsia="el-GR"/>
        </w:rPr>
        <w:t xml:space="preserve"> (Πίνακας 7)</w:t>
      </w:r>
      <w:r w:rsidR="00E445BB" w:rsidRPr="00D96200">
        <w:rPr>
          <w:rFonts w:ascii="Times New Roman" w:eastAsia="Times New Roman" w:hAnsi="Times New Roman" w:cs="Times New Roman"/>
          <w:bCs/>
          <w:sz w:val="24"/>
          <w:szCs w:val="24"/>
          <w:lang w:eastAsia="el-GR"/>
        </w:rPr>
        <w:t>.</w:t>
      </w:r>
      <w:r w:rsidR="00E445BB" w:rsidRPr="00E36734">
        <w:rPr>
          <w:rFonts w:ascii="Times New Roman" w:eastAsia="Times New Roman" w:hAnsi="Times New Roman" w:cs="Times New Roman"/>
          <w:bCs/>
          <w:sz w:val="24"/>
          <w:szCs w:val="24"/>
          <w:lang w:eastAsia="el-GR"/>
        </w:rPr>
        <w:t xml:space="preserve"> </w:t>
      </w:r>
    </w:p>
    <w:p w14:paraId="5BA817C2" w14:textId="77777777" w:rsidR="00CC546C" w:rsidRPr="00E36734" w:rsidRDefault="00CC546C" w:rsidP="00143079">
      <w:pPr>
        <w:spacing w:after="0" w:line="360" w:lineRule="auto"/>
        <w:jc w:val="both"/>
        <w:rPr>
          <w:rFonts w:ascii="Times New Roman" w:eastAsia="Times New Roman" w:hAnsi="Times New Roman" w:cs="Times New Roman"/>
          <w:bCs/>
          <w:sz w:val="24"/>
          <w:szCs w:val="24"/>
          <w:lang w:eastAsia="el-GR"/>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72"/>
        <w:gridCol w:w="1890"/>
        <w:gridCol w:w="1890"/>
        <w:gridCol w:w="1890"/>
        <w:gridCol w:w="1630"/>
      </w:tblGrid>
      <w:tr w:rsidR="00487FB4" w:rsidRPr="00E36734" w14:paraId="2CF4EE40" w14:textId="77777777" w:rsidTr="00BE7C9E">
        <w:trPr>
          <w:trHeight w:val="458"/>
        </w:trPr>
        <w:tc>
          <w:tcPr>
            <w:tcW w:w="3072" w:type="dxa"/>
            <w:vMerge w:val="restart"/>
            <w:shd w:val="clear" w:color="auto" w:fill="FDEADA"/>
            <w:tcMar>
              <w:top w:w="12" w:type="dxa"/>
              <w:left w:w="12" w:type="dxa"/>
              <w:bottom w:w="0" w:type="dxa"/>
              <w:right w:w="12" w:type="dxa"/>
            </w:tcMar>
            <w:vAlign w:val="bottom"/>
            <w:hideMark/>
          </w:tcPr>
          <w:p w14:paraId="4BDB190E" w14:textId="1E1F7926" w:rsidR="007E56A7" w:rsidRPr="00E36734" w:rsidRDefault="007E56A7" w:rsidP="00BE7C9E">
            <w:pPr>
              <w:spacing w:line="240" w:lineRule="auto"/>
              <w:jc w:val="center"/>
              <w:rPr>
                <w:rFonts w:eastAsia="Times New Roman" w:cstheme="minorHAnsi"/>
                <w:b/>
                <w:bCs/>
                <w:sz w:val="20"/>
                <w:szCs w:val="20"/>
              </w:rPr>
            </w:pPr>
            <w:r w:rsidRPr="00E36734">
              <w:rPr>
                <w:rFonts w:eastAsia="Times New Roman" w:cstheme="minorHAnsi"/>
                <w:b/>
                <w:bCs/>
                <w:sz w:val="20"/>
                <w:szCs w:val="20"/>
              </w:rPr>
              <w:t>Πίνακας</w:t>
            </w:r>
            <w:r w:rsidR="00511E73">
              <w:rPr>
                <w:rFonts w:eastAsia="Times New Roman" w:cstheme="minorHAnsi"/>
                <w:b/>
                <w:bCs/>
                <w:sz w:val="20"/>
                <w:szCs w:val="20"/>
              </w:rPr>
              <w:t xml:space="preserve"> 7</w:t>
            </w:r>
          </w:p>
          <w:p w14:paraId="35B787E1" w14:textId="66D671DD" w:rsidR="00487FB4" w:rsidRPr="00E36734" w:rsidRDefault="00BE7C9E" w:rsidP="00BE7C9E">
            <w:pPr>
              <w:spacing w:line="240" w:lineRule="auto"/>
              <w:jc w:val="center"/>
              <w:rPr>
                <w:rFonts w:eastAsia="Times New Roman" w:cstheme="minorHAnsi"/>
                <w:sz w:val="18"/>
                <w:szCs w:val="18"/>
              </w:rPr>
            </w:pPr>
            <w:r w:rsidRPr="00E36734">
              <w:rPr>
                <w:rFonts w:eastAsia="Times New Roman" w:cstheme="minorHAnsi"/>
                <w:sz w:val="18"/>
                <w:szCs w:val="18"/>
              </w:rPr>
              <w:t>Με τις υπάρχουσες σήμερα συνθήκες και με τις προοπτικές όπως διαμορφώνονται, θεωρείτε πιθανό ή όχι το ενδεχόμενο η επιχείρησή σας να έχει σοβαρό πρόβλημα λειτουργίας το επόμενο διάστημα σε βαθμό που θα κινδυνεύει να κλείσει;</w:t>
            </w:r>
          </w:p>
        </w:tc>
        <w:tc>
          <w:tcPr>
            <w:tcW w:w="5670" w:type="dxa"/>
            <w:gridSpan w:val="3"/>
            <w:shd w:val="clear" w:color="auto" w:fill="FDEADA"/>
            <w:tcMar>
              <w:top w:w="12" w:type="dxa"/>
              <w:left w:w="12" w:type="dxa"/>
              <w:bottom w:w="0" w:type="dxa"/>
              <w:right w:w="12" w:type="dxa"/>
            </w:tcMar>
            <w:vAlign w:val="center"/>
            <w:hideMark/>
          </w:tcPr>
          <w:p w14:paraId="5CE4A066" w14:textId="77777777" w:rsidR="00487FB4" w:rsidRPr="00E36734" w:rsidRDefault="00487FB4"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1630" w:type="dxa"/>
            <w:vMerge w:val="restart"/>
            <w:shd w:val="clear" w:color="auto" w:fill="FDEADA"/>
          </w:tcPr>
          <w:p w14:paraId="49EA44D7"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p>
          <w:p w14:paraId="3B5FD980"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p>
          <w:p w14:paraId="0227CE25" w14:textId="77777777" w:rsidR="00BE7C9E" w:rsidRPr="00E36734" w:rsidRDefault="00BE7C9E" w:rsidP="00487FB4">
            <w:pPr>
              <w:spacing w:after="0" w:line="240" w:lineRule="auto"/>
              <w:jc w:val="center"/>
              <w:textAlignment w:val="center"/>
              <w:rPr>
                <w:rFonts w:eastAsia="Microsoft JhengHei UI" w:cstheme="minorHAnsi"/>
                <w:color w:val="000000"/>
                <w:kern w:val="24"/>
                <w:sz w:val="18"/>
                <w:szCs w:val="18"/>
              </w:rPr>
            </w:pPr>
          </w:p>
          <w:p w14:paraId="6727E4D4" w14:textId="779AA138"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Επιχειρήσεις</w:t>
            </w:r>
          </w:p>
          <w:p w14:paraId="00829759"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 εστίασης</w:t>
            </w:r>
          </w:p>
        </w:tc>
      </w:tr>
      <w:tr w:rsidR="00487FB4" w:rsidRPr="00E36734" w14:paraId="090E22D2" w14:textId="77777777" w:rsidTr="00BE7C9E">
        <w:trPr>
          <w:trHeight w:val="872"/>
        </w:trPr>
        <w:tc>
          <w:tcPr>
            <w:tcW w:w="3072" w:type="dxa"/>
            <w:vMerge/>
            <w:shd w:val="clear" w:color="auto" w:fill="FDEADA"/>
            <w:tcMar>
              <w:top w:w="12" w:type="dxa"/>
              <w:left w:w="12" w:type="dxa"/>
              <w:bottom w:w="0" w:type="dxa"/>
              <w:right w:w="12" w:type="dxa"/>
            </w:tcMar>
            <w:vAlign w:val="bottom"/>
            <w:hideMark/>
          </w:tcPr>
          <w:p w14:paraId="4B64DA94" w14:textId="77777777" w:rsidR="00487FB4" w:rsidRPr="00E36734" w:rsidRDefault="00487FB4" w:rsidP="00487FB4">
            <w:pPr>
              <w:spacing w:after="0" w:line="240" w:lineRule="auto"/>
              <w:jc w:val="center"/>
              <w:rPr>
                <w:rFonts w:eastAsia="Times New Roman" w:cstheme="minorHAnsi"/>
                <w:sz w:val="18"/>
                <w:szCs w:val="18"/>
              </w:rPr>
            </w:pPr>
          </w:p>
        </w:tc>
        <w:tc>
          <w:tcPr>
            <w:tcW w:w="1890" w:type="dxa"/>
            <w:shd w:val="clear" w:color="auto" w:fill="FDEADA"/>
            <w:tcMar>
              <w:top w:w="12" w:type="dxa"/>
              <w:left w:w="12" w:type="dxa"/>
              <w:bottom w:w="0" w:type="dxa"/>
              <w:right w:w="12" w:type="dxa"/>
            </w:tcMar>
            <w:vAlign w:val="center"/>
            <w:hideMark/>
          </w:tcPr>
          <w:p w14:paraId="77223020" w14:textId="77777777" w:rsidR="00487FB4" w:rsidRPr="00E36734" w:rsidRDefault="00487FB4"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ανέστειλαν την δραστηριότητα τους με κρατική εντολή</w:t>
            </w:r>
          </w:p>
        </w:tc>
        <w:tc>
          <w:tcPr>
            <w:tcW w:w="1890" w:type="dxa"/>
            <w:shd w:val="clear" w:color="auto" w:fill="FDEADA"/>
            <w:tcMar>
              <w:top w:w="12" w:type="dxa"/>
              <w:left w:w="12" w:type="dxa"/>
              <w:bottom w:w="0" w:type="dxa"/>
              <w:right w:w="12" w:type="dxa"/>
            </w:tcMar>
            <w:vAlign w:val="center"/>
            <w:hideMark/>
          </w:tcPr>
          <w:p w14:paraId="759D2160" w14:textId="77777777" w:rsidR="00487FB4" w:rsidRPr="00E36734" w:rsidRDefault="00487FB4"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ανήκαν στις πληττόμενες βάσει ΚΑΔ επιχειρήσεις</w:t>
            </w:r>
          </w:p>
        </w:tc>
        <w:tc>
          <w:tcPr>
            <w:tcW w:w="1890" w:type="dxa"/>
            <w:shd w:val="clear" w:color="auto" w:fill="FDEADA"/>
            <w:tcMar>
              <w:top w:w="12" w:type="dxa"/>
              <w:left w:w="12" w:type="dxa"/>
              <w:bottom w:w="0" w:type="dxa"/>
              <w:right w:w="12" w:type="dxa"/>
            </w:tcMar>
            <w:vAlign w:val="center"/>
            <w:hideMark/>
          </w:tcPr>
          <w:p w14:paraId="2816537E" w14:textId="615E3EC3" w:rsidR="00487FB4" w:rsidRPr="00E36734" w:rsidRDefault="00BE7C9E"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δ</w:t>
            </w:r>
            <w:r w:rsidR="00487FB4" w:rsidRPr="00E36734">
              <w:rPr>
                <w:rFonts w:eastAsia="Microsoft JhengHei UI" w:cstheme="minorHAnsi"/>
                <w:color w:val="000000"/>
                <w:kern w:val="24"/>
                <w:sz w:val="18"/>
                <w:szCs w:val="18"/>
              </w:rPr>
              <w:t>εν ανήκαν σε καμία από τις παρακείμενες κατηγορίες</w:t>
            </w:r>
          </w:p>
        </w:tc>
        <w:tc>
          <w:tcPr>
            <w:tcW w:w="1630" w:type="dxa"/>
            <w:vMerge/>
            <w:shd w:val="clear" w:color="auto" w:fill="FDEADA"/>
          </w:tcPr>
          <w:p w14:paraId="7B8DC6BC"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p>
        </w:tc>
      </w:tr>
      <w:tr w:rsidR="00487FB4" w:rsidRPr="00E36734" w14:paraId="2BE68000" w14:textId="77777777" w:rsidTr="00BE7C9E">
        <w:trPr>
          <w:trHeight w:val="458"/>
        </w:trPr>
        <w:tc>
          <w:tcPr>
            <w:tcW w:w="3072" w:type="dxa"/>
            <w:shd w:val="clear" w:color="auto" w:fill="auto"/>
            <w:tcMar>
              <w:top w:w="12" w:type="dxa"/>
              <w:left w:w="12" w:type="dxa"/>
              <w:bottom w:w="0" w:type="dxa"/>
              <w:right w:w="12" w:type="dxa"/>
            </w:tcMar>
            <w:vAlign w:val="center"/>
            <w:hideMark/>
          </w:tcPr>
          <w:p w14:paraId="7E5A83F7" w14:textId="470875C1" w:rsidR="00487FB4" w:rsidRPr="00E36734" w:rsidRDefault="00BE7C9E" w:rsidP="00487FB4">
            <w:pPr>
              <w:spacing w:before="240" w:after="0" w:line="240" w:lineRule="auto"/>
              <w:jc w:val="center"/>
              <w:textAlignment w:val="bottom"/>
              <w:rPr>
                <w:rFonts w:eastAsia="Times New Roman" w:cstheme="minorHAnsi"/>
                <w:sz w:val="18"/>
                <w:szCs w:val="18"/>
              </w:rPr>
            </w:pPr>
            <w:r w:rsidRPr="00E36734">
              <w:rPr>
                <w:rFonts w:eastAsia="Times New Roman" w:cstheme="minorHAnsi"/>
                <w:sz w:val="18"/>
                <w:szCs w:val="18"/>
              </w:rPr>
              <w:t>Πολύ&amp; αρκετά πιθανό</w:t>
            </w:r>
          </w:p>
        </w:tc>
        <w:tc>
          <w:tcPr>
            <w:tcW w:w="1890" w:type="dxa"/>
            <w:shd w:val="clear" w:color="auto" w:fill="auto"/>
            <w:tcMar>
              <w:top w:w="12" w:type="dxa"/>
              <w:left w:w="12" w:type="dxa"/>
              <w:bottom w:w="0" w:type="dxa"/>
              <w:right w:w="12" w:type="dxa"/>
            </w:tcMar>
            <w:hideMark/>
          </w:tcPr>
          <w:p w14:paraId="718584FA" w14:textId="2DC92212" w:rsidR="00487FB4" w:rsidRPr="00E36734" w:rsidRDefault="006733D8" w:rsidP="00487FB4">
            <w:pPr>
              <w:spacing w:before="240" w:after="0" w:line="240" w:lineRule="auto"/>
              <w:jc w:val="center"/>
              <w:textAlignment w:val="center"/>
              <w:rPr>
                <w:rFonts w:eastAsia="Times New Roman" w:cstheme="minorHAnsi"/>
                <w:sz w:val="18"/>
                <w:szCs w:val="18"/>
                <w:lang w:val="en-US"/>
              </w:rPr>
            </w:pPr>
            <w:r>
              <w:t>50,9</w:t>
            </w:r>
          </w:p>
        </w:tc>
        <w:tc>
          <w:tcPr>
            <w:tcW w:w="1890" w:type="dxa"/>
            <w:shd w:val="clear" w:color="auto" w:fill="auto"/>
            <w:tcMar>
              <w:top w:w="12" w:type="dxa"/>
              <w:left w:w="12" w:type="dxa"/>
              <w:bottom w:w="0" w:type="dxa"/>
              <w:right w:w="12" w:type="dxa"/>
            </w:tcMar>
            <w:hideMark/>
          </w:tcPr>
          <w:p w14:paraId="2A4B5A8A" w14:textId="154A01DC"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36</w:t>
            </w:r>
          </w:p>
        </w:tc>
        <w:tc>
          <w:tcPr>
            <w:tcW w:w="1890" w:type="dxa"/>
            <w:shd w:val="clear" w:color="auto" w:fill="auto"/>
            <w:tcMar>
              <w:top w:w="12" w:type="dxa"/>
              <w:left w:w="12" w:type="dxa"/>
              <w:bottom w:w="0" w:type="dxa"/>
              <w:right w:w="12" w:type="dxa"/>
            </w:tcMar>
            <w:hideMark/>
          </w:tcPr>
          <w:p w14:paraId="27DD3361" w14:textId="65C677EF" w:rsidR="00487FB4" w:rsidRPr="00E36734" w:rsidRDefault="006733D8" w:rsidP="00487FB4">
            <w:pPr>
              <w:spacing w:before="240" w:after="0" w:line="240" w:lineRule="auto"/>
              <w:jc w:val="center"/>
              <w:textAlignment w:val="center"/>
              <w:rPr>
                <w:rFonts w:eastAsia="Times New Roman" w:cstheme="minorHAnsi"/>
                <w:sz w:val="18"/>
                <w:szCs w:val="18"/>
                <w:lang w:val="en-US"/>
              </w:rPr>
            </w:pPr>
            <w:r>
              <w:t>25,9</w:t>
            </w:r>
          </w:p>
        </w:tc>
        <w:tc>
          <w:tcPr>
            <w:tcW w:w="1630" w:type="dxa"/>
            <w:shd w:val="clear" w:color="auto" w:fill="auto"/>
          </w:tcPr>
          <w:p w14:paraId="6C08E282" w14:textId="4FB23299" w:rsidR="00487FB4" w:rsidRPr="00E36734" w:rsidRDefault="006733D8" w:rsidP="00487FB4">
            <w:pPr>
              <w:spacing w:before="240" w:after="0" w:line="240" w:lineRule="auto"/>
              <w:jc w:val="center"/>
              <w:textAlignment w:val="center"/>
              <w:rPr>
                <w:rFonts w:eastAsia="Microsoft JhengHei UI" w:cstheme="minorHAnsi"/>
                <w:color w:val="000000"/>
                <w:kern w:val="24"/>
                <w:sz w:val="18"/>
                <w:szCs w:val="18"/>
              </w:rPr>
            </w:pPr>
            <w:r>
              <w:t>48,5</w:t>
            </w:r>
          </w:p>
        </w:tc>
      </w:tr>
      <w:tr w:rsidR="00487FB4" w:rsidRPr="00E36734" w14:paraId="4E65009C" w14:textId="77777777" w:rsidTr="00BE7C9E">
        <w:trPr>
          <w:trHeight w:val="458"/>
        </w:trPr>
        <w:tc>
          <w:tcPr>
            <w:tcW w:w="3072" w:type="dxa"/>
            <w:shd w:val="clear" w:color="auto" w:fill="auto"/>
            <w:tcMar>
              <w:top w:w="12" w:type="dxa"/>
              <w:left w:w="12" w:type="dxa"/>
              <w:bottom w:w="0" w:type="dxa"/>
              <w:right w:w="12" w:type="dxa"/>
            </w:tcMar>
            <w:vAlign w:val="center"/>
            <w:hideMark/>
          </w:tcPr>
          <w:p w14:paraId="44C953B2" w14:textId="099264FC" w:rsidR="00487FB4" w:rsidRPr="00E36734" w:rsidRDefault="00BE7C9E" w:rsidP="00487FB4">
            <w:pPr>
              <w:spacing w:before="240"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Ελάχιστα &amp; καθόλου πιθανό</w:t>
            </w:r>
          </w:p>
        </w:tc>
        <w:tc>
          <w:tcPr>
            <w:tcW w:w="1890" w:type="dxa"/>
            <w:shd w:val="clear" w:color="auto" w:fill="auto"/>
            <w:tcMar>
              <w:top w:w="12" w:type="dxa"/>
              <w:left w:w="12" w:type="dxa"/>
              <w:bottom w:w="0" w:type="dxa"/>
              <w:right w:w="12" w:type="dxa"/>
            </w:tcMar>
            <w:hideMark/>
          </w:tcPr>
          <w:p w14:paraId="7A9CA961" w14:textId="394034D0" w:rsidR="00487FB4" w:rsidRPr="00E36734" w:rsidRDefault="006733D8" w:rsidP="00487FB4">
            <w:pPr>
              <w:spacing w:before="240" w:after="0" w:line="240" w:lineRule="auto"/>
              <w:jc w:val="center"/>
              <w:textAlignment w:val="center"/>
              <w:rPr>
                <w:rFonts w:eastAsia="Times New Roman" w:cstheme="minorHAnsi"/>
                <w:sz w:val="18"/>
                <w:szCs w:val="18"/>
                <w:lang w:val="en-US"/>
              </w:rPr>
            </w:pPr>
            <w:r>
              <w:t>46,4</w:t>
            </w:r>
          </w:p>
        </w:tc>
        <w:tc>
          <w:tcPr>
            <w:tcW w:w="1890" w:type="dxa"/>
            <w:shd w:val="clear" w:color="auto" w:fill="auto"/>
            <w:tcMar>
              <w:top w:w="12" w:type="dxa"/>
              <w:left w:w="12" w:type="dxa"/>
              <w:bottom w:w="0" w:type="dxa"/>
              <w:right w:w="12" w:type="dxa"/>
            </w:tcMar>
            <w:hideMark/>
          </w:tcPr>
          <w:p w14:paraId="671AE6A5" w14:textId="0970E9DD"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6</w:t>
            </w:r>
            <w:r w:rsidR="006733D8">
              <w:t>1</w:t>
            </w:r>
            <w:r w:rsidRPr="00E36734">
              <w:t>,4</w:t>
            </w:r>
          </w:p>
        </w:tc>
        <w:tc>
          <w:tcPr>
            <w:tcW w:w="1890" w:type="dxa"/>
            <w:shd w:val="clear" w:color="auto" w:fill="auto"/>
            <w:tcMar>
              <w:top w:w="12" w:type="dxa"/>
              <w:left w:w="12" w:type="dxa"/>
              <w:bottom w:w="0" w:type="dxa"/>
              <w:right w:w="12" w:type="dxa"/>
            </w:tcMar>
            <w:hideMark/>
          </w:tcPr>
          <w:p w14:paraId="0E0F4440" w14:textId="3D00F9BF" w:rsidR="00487FB4" w:rsidRPr="00E36734" w:rsidRDefault="006733D8" w:rsidP="00487FB4">
            <w:pPr>
              <w:spacing w:before="240" w:after="0" w:line="240" w:lineRule="auto"/>
              <w:jc w:val="center"/>
              <w:textAlignment w:val="center"/>
              <w:rPr>
                <w:rFonts w:eastAsia="Times New Roman" w:cstheme="minorHAnsi"/>
                <w:sz w:val="18"/>
                <w:szCs w:val="18"/>
                <w:lang w:val="en-US"/>
              </w:rPr>
            </w:pPr>
            <w:r>
              <w:t>71</w:t>
            </w:r>
          </w:p>
        </w:tc>
        <w:tc>
          <w:tcPr>
            <w:tcW w:w="1630" w:type="dxa"/>
            <w:shd w:val="clear" w:color="auto" w:fill="auto"/>
          </w:tcPr>
          <w:p w14:paraId="7ABA0BD6" w14:textId="5D70FE6C" w:rsidR="00487FB4" w:rsidRPr="00E36734" w:rsidRDefault="006733D8" w:rsidP="00487FB4">
            <w:pPr>
              <w:spacing w:before="240" w:after="0" w:line="240" w:lineRule="auto"/>
              <w:jc w:val="center"/>
              <w:textAlignment w:val="center"/>
              <w:rPr>
                <w:rFonts w:eastAsia="Microsoft JhengHei UI" w:cstheme="minorHAnsi"/>
                <w:color w:val="000000"/>
                <w:kern w:val="24"/>
                <w:sz w:val="18"/>
                <w:szCs w:val="18"/>
                <w:lang w:val="en-US"/>
              </w:rPr>
            </w:pPr>
            <w:r>
              <w:t>50,5</w:t>
            </w:r>
          </w:p>
        </w:tc>
      </w:tr>
      <w:tr w:rsidR="00487FB4" w:rsidRPr="00E36734" w14:paraId="2870F2C3" w14:textId="77777777" w:rsidTr="00BE7C9E">
        <w:trPr>
          <w:trHeight w:val="458"/>
        </w:trPr>
        <w:tc>
          <w:tcPr>
            <w:tcW w:w="3072" w:type="dxa"/>
            <w:shd w:val="clear" w:color="auto" w:fill="auto"/>
            <w:tcMar>
              <w:top w:w="12" w:type="dxa"/>
              <w:left w:w="12" w:type="dxa"/>
              <w:bottom w:w="0" w:type="dxa"/>
              <w:right w:w="12" w:type="dxa"/>
            </w:tcMar>
            <w:vAlign w:val="center"/>
            <w:hideMark/>
          </w:tcPr>
          <w:p w14:paraId="4682CE32" w14:textId="77777777" w:rsidR="00487FB4" w:rsidRPr="00E36734" w:rsidRDefault="00487FB4" w:rsidP="00487FB4">
            <w:pPr>
              <w:spacing w:before="240"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Δ.Ξ/Δ.Α</w:t>
            </w:r>
          </w:p>
        </w:tc>
        <w:tc>
          <w:tcPr>
            <w:tcW w:w="1890" w:type="dxa"/>
            <w:shd w:val="clear" w:color="auto" w:fill="auto"/>
            <w:tcMar>
              <w:top w:w="12" w:type="dxa"/>
              <w:left w:w="12" w:type="dxa"/>
              <w:bottom w:w="0" w:type="dxa"/>
              <w:right w:w="12" w:type="dxa"/>
            </w:tcMar>
            <w:hideMark/>
          </w:tcPr>
          <w:p w14:paraId="232D24B7" w14:textId="67461FFE" w:rsidR="00487FB4" w:rsidRPr="00E36734" w:rsidRDefault="006733D8" w:rsidP="00487FB4">
            <w:pPr>
              <w:spacing w:before="240" w:after="0" w:line="240" w:lineRule="auto"/>
              <w:jc w:val="center"/>
              <w:textAlignment w:val="center"/>
              <w:rPr>
                <w:rFonts w:eastAsia="Times New Roman" w:cstheme="minorHAnsi"/>
                <w:sz w:val="18"/>
                <w:szCs w:val="18"/>
                <w:lang w:val="en-US"/>
              </w:rPr>
            </w:pPr>
            <w:r>
              <w:t>2,7</w:t>
            </w:r>
          </w:p>
        </w:tc>
        <w:tc>
          <w:tcPr>
            <w:tcW w:w="1890" w:type="dxa"/>
            <w:shd w:val="clear" w:color="auto" w:fill="auto"/>
            <w:tcMar>
              <w:top w:w="12" w:type="dxa"/>
              <w:left w:w="12" w:type="dxa"/>
              <w:bottom w:w="0" w:type="dxa"/>
              <w:right w:w="12" w:type="dxa"/>
            </w:tcMar>
            <w:hideMark/>
          </w:tcPr>
          <w:p w14:paraId="15E63E13" w14:textId="04763E85" w:rsidR="00487FB4" w:rsidRPr="00E36734" w:rsidRDefault="006733D8" w:rsidP="00487FB4">
            <w:pPr>
              <w:spacing w:before="240" w:after="0" w:line="240" w:lineRule="auto"/>
              <w:jc w:val="center"/>
              <w:textAlignment w:val="center"/>
              <w:rPr>
                <w:rFonts w:eastAsia="Times New Roman" w:cstheme="minorHAnsi"/>
                <w:sz w:val="18"/>
                <w:szCs w:val="18"/>
                <w:lang w:val="en-US"/>
              </w:rPr>
            </w:pPr>
            <w:r>
              <w:t>2,5</w:t>
            </w:r>
          </w:p>
        </w:tc>
        <w:tc>
          <w:tcPr>
            <w:tcW w:w="1890" w:type="dxa"/>
            <w:shd w:val="clear" w:color="auto" w:fill="auto"/>
            <w:tcMar>
              <w:top w:w="12" w:type="dxa"/>
              <w:left w:w="12" w:type="dxa"/>
              <w:bottom w:w="0" w:type="dxa"/>
              <w:right w:w="12" w:type="dxa"/>
            </w:tcMar>
            <w:hideMark/>
          </w:tcPr>
          <w:p w14:paraId="3CE81E38" w14:textId="07360F20" w:rsidR="00487FB4" w:rsidRPr="00E36734" w:rsidRDefault="006733D8" w:rsidP="00487FB4">
            <w:pPr>
              <w:spacing w:before="240" w:after="0" w:line="240" w:lineRule="auto"/>
              <w:jc w:val="center"/>
              <w:textAlignment w:val="center"/>
              <w:rPr>
                <w:rFonts w:eastAsia="Times New Roman" w:cstheme="minorHAnsi"/>
                <w:sz w:val="18"/>
                <w:szCs w:val="18"/>
                <w:lang w:val="en-US"/>
              </w:rPr>
            </w:pPr>
            <w:r>
              <w:t>3,1</w:t>
            </w:r>
          </w:p>
        </w:tc>
        <w:tc>
          <w:tcPr>
            <w:tcW w:w="1630" w:type="dxa"/>
            <w:shd w:val="clear" w:color="auto" w:fill="auto"/>
          </w:tcPr>
          <w:p w14:paraId="2FDC107A" w14:textId="0F82B9D4" w:rsidR="00487FB4" w:rsidRPr="00E36734" w:rsidRDefault="006733D8" w:rsidP="00487FB4">
            <w:pPr>
              <w:spacing w:before="240" w:after="0" w:line="240" w:lineRule="auto"/>
              <w:jc w:val="center"/>
              <w:textAlignment w:val="center"/>
              <w:rPr>
                <w:rFonts w:eastAsia="Microsoft JhengHei UI" w:cstheme="minorHAnsi"/>
                <w:color w:val="000000"/>
                <w:kern w:val="24"/>
                <w:sz w:val="18"/>
                <w:szCs w:val="18"/>
                <w:lang w:val="en-US"/>
              </w:rPr>
            </w:pPr>
            <w:r>
              <w:t>1</w:t>
            </w:r>
          </w:p>
        </w:tc>
      </w:tr>
    </w:tbl>
    <w:p w14:paraId="6411EC00" w14:textId="77777777" w:rsidR="00344F20" w:rsidRPr="00E36734" w:rsidRDefault="00344F20" w:rsidP="00143079">
      <w:pPr>
        <w:spacing w:after="0" w:line="360" w:lineRule="auto"/>
        <w:jc w:val="both"/>
        <w:rPr>
          <w:rFonts w:ascii="Times New Roman" w:eastAsia="Times New Roman" w:hAnsi="Times New Roman" w:cs="Times New Roman"/>
          <w:b/>
          <w:sz w:val="24"/>
          <w:szCs w:val="24"/>
          <w:lang w:eastAsia="el-GR"/>
        </w:rPr>
      </w:pPr>
    </w:p>
    <w:p w14:paraId="2FA1F178" w14:textId="4AA5F2F9" w:rsidR="008D6CAD" w:rsidRDefault="008D6CAD" w:rsidP="00143079">
      <w:pPr>
        <w:spacing w:after="0" w:line="360" w:lineRule="auto"/>
        <w:jc w:val="both"/>
        <w:rPr>
          <w:rFonts w:ascii="Times New Roman" w:eastAsia="Times New Roman" w:hAnsi="Times New Roman" w:cs="Times New Roman"/>
          <w:b/>
          <w:sz w:val="24"/>
          <w:szCs w:val="24"/>
          <w:u w:val="single"/>
          <w:lang w:eastAsia="el-GR"/>
        </w:rPr>
      </w:pPr>
      <w:bookmarkStart w:id="23" w:name="_Hlk68090634"/>
    </w:p>
    <w:p w14:paraId="17D5DBFC" w14:textId="74A4C2E3" w:rsidR="00511E73" w:rsidRDefault="00511E73" w:rsidP="00511E73">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Τα παραπάνω καταδεικνύουν την εξαιρετικά ευάλωτη θέση που βρίσκονται οι επιχειρήσεις που αναγκάστηκαν να αναστείλουν ή να μειώσουν δραματικά τη δραστηριότητα</w:t>
      </w:r>
      <w:r w:rsidR="00FA4FBE">
        <w:rPr>
          <w:rFonts w:ascii="Times New Roman" w:eastAsia="Times New Roman" w:hAnsi="Times New Roman" w:cs="Times New Roman"/>
          <w:bCs/>
          <w:sz w:val="24"/>
          <w:szCs w:val="24"/>
          <w:lang w:eastAsia="el-GR"/>
        </w:rPr>
        <w:t xml:space="preserve"> τους</w:t>
      </w:r>
      <w:r>
        <w:rPr>
          <w:rFonts w:ascii="Times New Roman" w:eastAsia="Times New Roman" w:hAnsi="Times New Roman" w:cs="Times New Roman"/>
          <w:bCs/>
          <w:sz w:val="24"/>
          <w:szCs w:val="24"/>
          <w:lang w:eastAsia="el-GR"/>
        </w:rPr>
        <w:t xml:space="preserve"> για μεγάλα χρονικά διαστήματα λόγω της πανδημίας. Υποδεικνύουν επίσης πως τα μέτρα στήριξης,</w:t>
      </w:r>
      <w:r w:rsidR="00BB750E">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eastAsia="el-GR"/>
        </w:rPr>
        <w:t xml:space="preserve">παρόλο που </w:t>
      </w:r>
      <w:r w:rsidR="00BB750E">
        <w:rPr>
          <w:rFonts w:ascii="Times New Roman" w:eastAsia="Times New Roman" w:hAnsi="Times New Roman" w:cs="Times New Roman"/>
          <w:bCs/>
          <w:sz w:val="24"/>
          <w:szCs w:val="24"/>
          <w:lang w:eastAsia="el-GR"/>
        </w:rPr>
        <w:t>βοήθησαν</w:t>
      </w:r>
      <w:r>
        <w:rPr>
          <w:rFonts w:ascii="Times New Roman" w:eastAsia="Times New Roman" w:hAnsi="Times New Roman" w:cs="Times New Roman"/>
          <w:bCs/>
          <w:sz w:val="24"/>
          <w:szCs w:val="24"/>
          <w:lang w:eastAsia="el-GR"/>
        </w:rPr>
        <w:t xml:space="preserve"> τις επιχειρήσεις αυτές να παραμείνουν «ζωντανές», δεν είναι αρκετά για να εξασφαλίσουν τη βιωσιμότητα τους </w:t>
      </w:r>
      <w:r w:rsidR="00FA4FBE">
        <w:rPr>
          <w:rFonts w:ascii="Times New Roman" w:eastAsia="Times New Roman" w:hAnsi="Times New Roman" w:cs="Times New Roman"/>
          <w:bCs/>
          <w:sz w:val="24"/>
          <w:szCs w:val="24"/>
          <w:lang w:eastAsia="el-GR"/>
        </w:rPr>
        <w:t>από</w:t>
      </w:r>
      <w:r>
        <w:rPr>
          <w:rFonts w:ascii="Times New Roman" w:eastAsia="Times New Roman" w:hAnsi="Times New Roman" w:cs="Times New Roman"/>
          <w:bCs/>
          <w:sz w:val="24"/>
          <w:szCs w:val="24"/>
          <w:lang w:eastAsia="el-GR"/>
        </w:rPr>
        <w:t xml:space="preserve"> μια ενδεχόμενη αρνητική μεταβολή στην οικονομική δραστηριότητα το επόμενο διάστημα. </w:t>
      </w:r>
    </w:p>
    <w:p w14:paraId="3F3CC5B7" w14:textId="061CCE6B" w:rsidR="00511E73" w:rsidRDefault="00511E73" w:rsidP="00511E73">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Αυτό άλλωστε φαίνεται και από την γενική αξιολόγηση των μικρών και πολύ μικρών επιχειρήσεων ως προς τα μέτρα που υιοθετήθηκαν για τη στήριξή τους. Συγκεκριμένα</w:t>
      </w:r>
      <w:r w:rsidR="00BB750E">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το 54,6% των επιχειρήσεων θεωρούν πως τα μέτρα στήριξης ήταν ανεπαρκή ή μάλλον ανεπαρκή, έναντι του 40,1% που αξιολόγησε τα μέτρα ως επαρκή ή μάλλον επαρκή</w:t>
      </w:r>
      <w:r w:rsidR="00FA4FBE">
        <w:rPr>
          <w:rFonts w:ascii="Times New Roman" w:eastAsia="Times New Roman" w:hAnsi="Times New Roman" w:cs="Times New Roman"/>
          <w:bCs/>
          <w:sz w:val="24"/>
          <w:szCs w:val="24"/>
          <w:lang w:eastAsia="el-GR"/>
        </w:rPr>
        <w:t xml:space="preserve"> (Γράφημα 25)</w:t>
      </w:r>
      <w:r>
        <w:rPr>
          <w:rFonts w:ascii="Times New Roman" w:eastAsia="Times New Roman" w:hAnsi="Times New Roman" w:cs="Times New Roman"/>
          <w:bCs/>
          <w:sz w:val="24"/>
          <w:szCs w:val="24"/>
          <w:lang w:eastAsia="el-GR"/>
        </w:rPr>
        <w:t>. Μάλιστα τα ποσοστά αρνητικής αξιολόγησης από τις επιχειρήσεις που ανέστειλαν τη λειτουργία τους με κρατική εντολή και τις επιχειρήσεις εστίασης είναι σημαντικά μεγαλύτερα. Ειδικότερα</w:t>
      </w:r>
      <w:r w:rsidR="00BB750E">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το 60,8% των επιχειρήσεων εστίασης θεωρεί τα μέτρα που υιοθετήθηκαν για τη στήριξη τους ως ανεπαρκή ή μάλλον ανεπαρκή</w:t>
      </w:r>
      <w:r w:rsidR="00BB750E">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ενώ αντίστοιχα το </w:t>
      </w:r>
      <w:r w:rsidR="0096750F">
        <w:rPr>
          <w:rFonts w:ascii="Times New Roman" w:eastAsia="Times New Roman" w:hAnsi="Times New Roman" w:cs="Times New Roman"/>
          <w:bCs/>
          <w:sz w:val="24"/>
          <w:szCs w:val="24"/>
          <w:lang w:eastAsia="el-GR"/>
        </w:rPr>
        <w:t>61,6</w:t>
      </w:r>
      <w:r>
        <w:rPr>
          <w:rFonts w:ascii="Times New Roman" w:eastAsia="Times New Roman" w:hAnsi="Times New Roman" w:cs="Times New Roman"/>
          <w:bCs/>
          <w:sz w:val="24"/>
          <w:szCs w:val="24"/>
          <w:lang w:eastAsia="el-GR"/>
        </w:rPr>
        <w:t xml:space="preserve">% των επιχειρήσεων που ανέστειλαν τη λειτουργία τους με κρατική εντολή θεωρεί πως τα μέτρα που ελήφθησαν ήταν ανεπαρκή ή μάλλον ανεπαρκή. </w:t>
      </w:r>
    </w:p>
    <w:p w14:paraId="1B3C6E16" w14:textId="322628FE" w:rsidR="0096750F" w:rsidRPr="00E36734" w:rsidRDefault="0096750F" w:rsidP="00511E73">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Με βάση τα παραπάνω φαίνεται πως υπάρχει η ανάγκη επιπρόσθετων μέτρων στήριξης των επιχειρήσεων που επλήγησαν δυσανάλογα από την υγειονομική κρίση προκειμένου για να επανακτήσουν τη βιωσιμότητα τους. </w:t>
      </w:r>
    </w:p>
    <w:p w14:paraId="4DF75BA4" w14:textId="25838257" w:rsidR="00215BF7" w:rsidRDefault="00215BF7" w:rsidP="00143079">
      <w:pPr>
        <w:spacing w:after="0" w:line="360" w:lineRule="auto"/>
        <w:jc w:val="both"/>
        <w:rPr>
          <w:rFonts w:ascii="Times New Roman" w:eastAsia="Times New Roman" w:hAnsi="Times New Roman" w:cs="Times New Roman"/>
          <w:b/>
          <w:sz w:val="24"/>
          <w:szCs w:val="24"/>
          <w:u w:val="single"/>
          <w:lang w:eastAsia="el-GR"/>
        </w:rPr>
      </w:pPr>
    </w:p>
    <w:p w14:paraId="5FB001B5" w14:textId="73268022" w:rsidR="00215BF7" w:rsidRPr="00FA4FBE" w:rsidRDefault="0096750F" w:rsidP="00FA4FBE">
      <w:pPr>
        <w:spacing w:after="0" w:line="360" w:lineRule="auto"/>
        <w:jc w:val="center"/>
        <w:rPr>
          <w:rFonts w:ascii="Times New Roman" w:eastAsia="Times New Roman" w:hAnsi="Times New Roman" w:cs="Times New Roman"/>
          <w:b/>
          <w:sz w:val="24"/>
          <w:szCs w:val="24"/>
          <w:lang w:eastAsia="el-GR"/>
        </w:rPr>
      </w:pPr>
      <w:r w:rsidRPr="00FA4FBE">
        <w:rPr>
          <w:rFonts w:ascii="Times New Roman" w:eastAsia="Times New Roman" w:hAnsi="Times New Roman" w:cs="Times New Roman"/>
          <w:b/>
          <w:sz w:val="24"/>
          <w:szCs w:val="24"/>
          <w:lang w:eastAsia="el-GR"/>
        </w:rPr>
        <w:t>Γράφημα</w:t>
      </w:r>
      <w:r w:rsidR="00FA4FBE" w:rsidRPr="00FA4FBE">
        <w:rPr>
          <w:rFonts w:ascii="Times New Roman" w:eastAsia="Times New Roman" w:hAnsi="Times New Roman" w:cs="Times New Roman"/>
          <w:b/>
          <w:sz w:val="24"/>
          <w:szCs w:val="24"/>
          <w:lang w:eastAsia="el-GR"/>
        </w:rPr>
        <w:t xml:space="preserve"> 25</w:t>
      </w:r>
    </w:p>
    <w:p w14:paraId="3ABD5DAC" w14:textId="73FD4A85" w:rsidR="00215BF7" w:rsidRPr="00FA4FBE" w:rsidRDefault="00215BF7" w:rsidP="00FA4FBE">
      <w:pPr>
        <w:spacing w:after="0" w:line="360" w:lineRule="auto"/>
        <w:jc w:val="center"/>
        <w:rPr>
          <w:rFonts w:ascii="Times New Roman" w:eastAsia="Times New Roman" w:hAnsi="Times New Roman" w:cs="Times New Roman"/>
          <w:b/>
          <w:sz w:val="24"/>
          <w:szCs w:val="24"/>
          <w:lang w:eastAsia="el-GR"/>
        </w:rPr>
      </w:pPr>
      <w:r w:rsidRPr="00FA4FBE">
        <w:rPr>
          <w:rFonts w:ascii="Times New Roman" w:eastAsia="Times New Roman" w:hAnsi="Times New Roman" w:cs="Times New Roman"/>
          <w:b/>
          <w:sz w:val="24"/>
          <w:szCs w:val="24"/>
          <w:lang w:eastAsia="el-GR"/>
        </w:rPr>
        <w:t xml:space="preserve">Γενικά πώς αξιολογείτε τα μέτρα της κυβέρνησης για την στήριξη των επιχειρήσεων </w:t>
      </w:r>
      <w:r w:rsidRPr="00FA4FBE">
        <w:rPr>
          <w:rFonts w:ascii="Times New Roman" w:eastAsia="Times New Roman" w:hAnsi="Times New Roman" w:cs="Times New Roman"/>
          <w:b/>
          <w:sz w:val="24"/>
          <w:szCs w:val="24"/>
          <w:lang w:eastAsia="el-GR"/>
        </w:rPr>
        <w:br/>
        <w:t>από τις επιπτώσεις της υγειονομικής κρίσης;</w:t>
      </w:r>
    </w:p>
    <w:p w14:paraId="4A0E1002" w14:textId="1A713669" w:rsidR="008D6CAD" w:rsidRPr="00E36734" w:rsidRDefault="006733D8" w:rsidP="00143079">
      <w:pPr>
        <w:spacing w:after="0" w:line="360" w:lineRule="auto"/>
        <w:jc w:val="both"/>
        <w:rPr>
          <w:rFonts w:ascii="Times New Roman" w:eastAsia="Times New Roman" w:hAnsi="Times New Roman" w:cs="Times New Roman"/>
          <w:b/>
          <w:sz w:val="24"/>
          <w:szCs w:val="24"/>
          <w:u w:val="single"/>
          <w:lang w:eastAsia="el-GR"/>
        </w:rPr>
      </w:pPr>
      <w:r w:rsidRPr="006733D8">
        <w:rPr>
          <w:rFonts w:ascii="Times New Roman" w:eastAsia="Times New Roman" w:hAnsi="Times New Roman" w:cs="Times New Roman"/>
          <w:b/>
          <w:noProof/>
          <w:sz w:val="24"/>
          <w:szCs w:val="24"/>
          <w:u w:val="single"/>
          <w:lang w:val="en-US"/>
        </w:rPr>
        <w:drawing>
          <wp:inline distT="0" distB="0" distL="0" distR="0" wp14:anchorId="04412CDF" wp14:editId="63AF7A6B">
            <wp:extent cx="6570980" cy="2766060"/>
            <wp:effectExtent l="0" t="0" r="1270" b="15240"/>
            <wp:docPr id="48" name="Γράφημα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EBF39B" w14:textId="77777777" w:rsidR="00215BF7" w:rsidRDefault="00215BF7" w:rsidP="00143079">
      <w:pPr>
        <w:spacing w:after="0" w:line="360" w:lineRule="auto"/>
        <w:jc w:val="both"/>
        <w:rPr>
          <w:rFonts w:ascii="Times New Roman" w:eastAsia="Times New Roman" w:hAnsi="Times New Roman" w:cs="Times New Roman"/>
          <w:b/>
          <w:sz w:val="24"/>
          <w:szCs w:val="24"/>
          <w:u w:val="single"/>
          <w:lang w:eastAsia="el-GR"/>
        </w:rPr>
      </w:pPr>
    </w:p>
    <w:p w14:paraId="475457EF" w14:textId="7D1C640B" w:rsidR="00E445BB" w:rsidRPr="00E36734" w:rsidRDefault="004F167D" w:rsidP="00143079">
      <w:pPr>
        <w:spacing w:after="0"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u w:val="single"/>
          <w:lang w:eastAsia="el-GR"/>
        </w:rPr>
        <w:lastRenderedPageBreak/>
        <w:t xml:space="preserve">Εργασιακό – Ασφαλιστικό </w:t>
      </w:r>
    </w:p>
    <w:bookmarkEnd w:id="23"/>
    <w:p w14:paraId="2FECB0ED" w14:textId="094FC9D2" w:rsidR="00215BF7" w:rsidRDefault="00A71250" w:rsidP="00143079">
      <w:pPr>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Όσον</w:t>
      </w:r>
      <w:r w:rsidR="0070621A">
        <w:rPr>
          <w:rFonts w:ascii="Times New Roman" w:eastAsia="Times New Roman" w:hAnsi="Times New Roman" w:cs="Times New Roman"/>
          <w:bCs/>
          <w:sz w:val="24"/>
          <w:szCs w:val="24"/>
          <w:lang w:eastAsia="el-GR"/>
        </w:rPr>
        <w:t xml:space="preserve"> αφορά τις σοβαρές αλλαγές που επήλθαν στην αγορά εργασίας με τον νέο εργασιακό νόμο και την επικουρική ασφάλιση με το νέο ασφαλιστικό</w:t>
      </w:r>
      <w:r>
        <w:rPr>
          <w:rFonts w:ascii="Times New Roman" w:eastAsia="Times New Roman" w:hAnsi="Times New Roman" w:cs="Times New Roman"/>
          <w:bCs/>
          <w:sz w:val="24"/>
          <w:szCs w:val="24"/>
          <w:lang w:eastAsia="el-GR"/>
        </w:rPr>
        <w:t>,</w:t>
      </w:r>
      <w:r w:rsidR="0070621A">
        <w:rPr>
          <w:rFonts w:ascii="Times New Roman" w:eastAsia="Times New Roman" w:hAnsi="Times New Roman" w:cs="Times New Roman"/>
          <w:bCs/>
          <w:sz w:val="24"/>
          <w:szCs w:val="24"/>
          <w:lang w:eastAsia="el-GR"/>
        </w:rPr>
        <w:t xml:space="preserve"> αρνητικές σε γενικές γραμμές είναι οι απόψεις των μικρών και πολύ μικρών επιχειρήσεων. Για τον εργασιακό νόμο</w:t>
      </w:r>
      <w:r w:rsidR="00BB750E">
        <w:rPr>
          <w:rFonts w:ascii="Times New Roman" w:eastAsia="Times New Roman" w:hAnsi="Times New Roman" w:cs="Times New Roman"/>
          <w:bCs/>
          <w:sz w:val="24"/>
          <w:szCs w:val="24"/>
          <w:lang w:eastAsia="el-GR"/>
        </w:rPr>
        <w:t>,</w:t>
      </w:r>
      <w:r w:rsidR="0070621A">
        <w:rPr>
          <w:rFonts w:ascii="Times New Roman" w:eastAsia="Times New Roman" w:hAnsi="Times New Roman" w:cs="Times New Roman"/>
          <w:bCs/>
          <w:sz w:val="24"/>
          <w:szCs w:val="24"/>
          <w:lang w:eastAsia="el-GR"/>
        </w:rPr>
        <w:t xml:space="preserve"> θετική ή μάλλον θετική γνώμη έχει το 23,1% έναντι του 41,7% που έχει αρνητική ή μάλλον αρνητική γνώμη</w:t>
      </w:r>
      <w:r w:rsidR="00181EAC">
        <w:rPr>
          <w:rFonts w:ascii="Times New Roman" w:eastAsia="Times New Roman" w:hAnsi="Times New Roman" w:cs="Times New Roman"/>
          <w:bCs/>
          <w:sz w:val="24"/>
          <w:szCs w:val="24"/>
          <w:lang w:eastAsia="el-GR"/>
        </w:rPr>
        <w:t xml:space="preserve"> (Γράφημα 26)</w:t>
      </w:r>
      <w:r w:rsidR="0070621A">
        <w:rPr>
          <w:rFonts w:ascii="Times New Roman" w:eastAsia="Times New Roman" w:hAnsi="Times New Roman" w:cs="Times New Roman"/>
          <w:bCs/>
          <w:sz w:val="24"/>
          <w:szCs w:val="24"/>
          <w:lang w:eastAsia="el-GR"/>
        </w:rPr>
        <w:t>. Για το νέο ασφαλιστικ</w:t>
      </w:r>
      <w:r w:rsidR="00181EAC">
        <w:rPr>
          <w:rFonts w:ascii="Times New Roman" w:eastAsia="Times New Roman" w:hAnsi="Times New Roman" w:cs="Times New Roman"/>
          <w:bCs/>
          <w:sz w:val="24"/>
          <w:szCs w:val="24"/>
          <w:lang w:eastAsia="el-GR"/>
        </w:rPr>
        <w:t>ό</w:t>
      </w:r>
      <w:r w:rsidR="00BB750E">
        <w:rPr>
          <w:rFonts w:ascii="Times New Roman" w:eastAsia="Times New Roman" w:hAnsi="Times New Roman" w:cs="Times New Roman"/>
          <w:bCs/>
          <w:sz w:val="24"/>
          <w:szCs w:val="24"/>
          <w:lang w:eastAsia="el-GR"/>
        </w:rPr>
        <w:t>,</w:t>
      </w:r>
      <w:r w:rsidR="00181EAC">
        <w:rPr>
          <w:rFonts w:ascii="Times New Roman" w:eastAsia="Times New Roman" w:hAnsi="Times New Roman" w:cs="Times New Roman"/>
          <w:bCs/>
          <w:sz w:val="24"/>
          <w:szCs w:val="24"/>
          <w:lang w:eastAsia="el-GR"/>
        </w:rPr>
        <w:t xml:space="preserve"> το 17,6% των επιχειρήσεων αξιολογεί θετικά ή μάλλον θετικά τις νέες ρυθμίσεις έναντι του 20,4% που το αξιολογεί αρνητικά ή μάλλον αρνητικά (Γράφημα 27). Χαρακτηριστικό και για τα δυο </w:t>
      </w:r>
      <w:r w:rsidR="00181EAC" w:rsidRPr="000815D3">
        <w:rPr>
          <w:rFonts w:ascii="Times New Roman" w:eastAsia="Times New Roman" w:hAnsi="Times New Roman" w:cs="Times New Roman"/>
          <w:bCs/>
          <w:color w:val="FF0000"/>
          <w:sz w:val="24"/>
          <w:szCs w:val="24"/>
          <w:lang w:eastAsia="el-GR"/>
        </w:rPr>
        <w:t>νομοσχέδι</w:t>
      </w:r>
      <w:r w:rsidR="00BB750E" w:rsidRPr="000815D3">
        <w:rPr>
          <w:rFonts w:ascii="Times New Roman" w:eastAsia="Times New Roman" w:hAnsi="Times New Roman" w:cs="Times New Roman"/>
          <w:bCs/>
          <w:color w:val="FF0000"/>
          <w:sz w:val="24"/>
          <w:szCs w:val="24"/>
          <w:lang w:eastAsia="el-GR"/>
        </w:rPr>
        <w:t>α</w:t>
      </w:r>
      <w:r w:rsidR="00181EAC">
        <w:rPr>
          <w:rFonts w:ascii="Times New Roman" w:eastAsia="Times New Roman" w:hAnsi="Times New Roman" w:cs="Times New Roman"/>
          <w:bCs/>
          <w:sz w:val="24"/>
          <w:szCs w:val="24"/>
          <w:lang w:eastAsia="el-GR"/>
        </w:rPr>
        <w:t xml:space="preserve"> είναι το ιδιαίτερα υψηλό ποσοστό των επιχειρηματιών που δεν γνωρίζουν τις νέες ρυθμίσεις. Ειδικότερα το 32,3% των μικρών και πολύ μικρών επιχειρήσεων δεν γνωρίζει τις ρυθμίσεις που εισάγει ο νέος εργασιακός νόμος</w:t>
      </w:r>
      <w:r w:rsidR="00BB750E">
        <w:rPr>
          <w:rFonts w:ascii="Times New Roman" w:eastAsia="Times New Roman" w:hAnsi="Times New Roman" w:cs="Times New Roman"/>
          <w:bCs/>
          <w:sz w:val="24"/>
          <w:szCs w:val="24"/>
          <w:lang w:eastAsia="el-GR"/>
        </w:rPr>
        <w:t>,</w:t>
      </w:r>
      <w:r w:rsidR="00181EAC">
        <w:rPr>
          <w:rFonts w:ascii="Times New Roman" w:eastAsia="Times New Roman" w:hAnsi="Times New Roman" w:cs="Times New Roman"/>
          <w:bCs/>
          <w:sz w:val="24"/>
          <w:szCs w:val="24"/>
          <w:lang w:eastAsia="el-GR"/>
        </w:rPr>
        <w:t xml:space="preserve"> ενώ η πλειονότητα των επιχειρήσεων (55,6%) δεν γνωρίζει τις αλλαγές που επέρχονται στο σύστημα επικουρικής ασφάλισης. Το εύρημα αυτό καταδεικνύει την ελλειμματική διαβούλευση (ποιοτικά και χρονικά) που γίνεται για τόσο σοβαρά ζητήματα και αρκετές φορές οδηγεί τις επιχειρήσει</w:t>
      </w:r>
      <w:r>
        <w:rPr>
          <w:rFonts w:ascii="Times New Roman" w:eastAsia="Times New Roman" w:hAnsi="Times New Roman" w:cs="Times New Roman"/>
          <w:bCs/>
          <w:sz w:val="24"/>
          <w:szCs w:val="24"/>
          <w:lang w:eastAsia="el-GR"/>
        </w:rPr>
        <w:t>ς σε μη συμμόρφωση λόγω άγνοιας</w:t>
      </w:r>
      <w:r w:rsidR="00153C6C">
        <w:rPr>
          <w:rFonts w:ascii="Times New Roman" w:eastAsia="Times New Roman" w:hAnsi="Times New Roman" w:cs="Times New Roman"/>
          <w:bCs/>
          <w:sz w:val="24"/>
          <w:szCs w:val="24"/>
          <w:lang w:eastAsia="el-GR"/>
        </w:rPr>
        <w:t>.</w:t>
      </w:r>
    </w:p>
    <w:tbl>
      <w:tblPr>
        <w:tblStyle w:val="a9"/>
        <w:tblW w:w="0" w:type="auto"/>
        <w:tblLook w:val="04A0" w:firstRow="1" w:lastRow="0" w:firstColumn="1" w:lastColumn="0" w:noHBand="0" w:noVBand="1"/>
      </w:tblPr>
      <w:tblGrid>
        <w:gridCol w:w="5278"/>
        <w:gridCol w:w="5286"/>
      </w:tblGrid>
      <w:tr w:rsidR="004F167D" w14:paraId="12BE86A5" w14:textId="77777777" w:rsidTr="004F167D">
        <w:tc>
          <w:tcPr>
            <w:tcW w:w="5282" w:type="dxa"/>
          </w:tcPr>
          <w:p w14:paraId="3AB57374" w14:textId="67BC0249" w:rsidR="0070621A" w:rsidRDefault="0070621A" w:rsidP="0070621A">
            <w:pPr>
              <w:spacing w:line="360" w:lineRule="auto"/>
              <w:jc w:val="center"/>
              <w:rPr>
                <w:b/>
                <w:sz w:val="24"/>
                <w:szCs w:val="24"/>
              </w:rPr>
            </w:pPr>
            <w:r>
              <w:rPr>
                <w:b/>
                <w:sz w:val="24"/>
                <w:szCs w:val="24"/>
              </w:rPr>
              <w:t>Γράφημα 26</w:t>
            </w:r>
          </w:p>
          <w:p w14:paraId="7C5C7A22" w14:textId="49D2E559" w:rsidR="004F167D" w:rsidRDefault="0070621A" w:rsidP="00143079">
            <w:pPr>
              <w:spacing w:line="360" w:lineRule="auto"/>
              <w:jc w:val="both"/>
              <w:rPr>
                <w:bCs/>
                <w:sz w:val="24"/>
                <w:szCs w:val="24"/>
              </w:rPr>
            </w:pPr>
            <w:r w:rsidRPr="00215BF7">
              <w:rPr>
                <w:b/>
                <w:sz w:val="24"/>
                <w:szCs w:val="24"/>
              </w:rPr>
              <w:t xml:space="preserve">Γενικά πώς αξιολογείτε τις ρυθμίσεις που εισάγει </w:t>
            </w:r>
            <w:r w:rsidRPr="00215BF7">
              <w:rPr>
                <w:b/>
                <w:sz w:val="24"/>
                <w:szCs w:val="24"/>
              </w:rPr>
              <w:br/>
              <w:t>στην αγορά εργασίας ο νέος εργασιακός νόμος;</w:t>
            </w:r>
          </w:p>
        </w:tc>
        <w:tc>
          <w:tcPr>
            <w:tcW w:w="5282" w:type="dxa"/>
          </w:tcPr>
          <w:p w14:paraId="68D7C500" w14:textId="35B0A067" w:rsidR="0070621A" w:rsidRDefault="0070621A" w:rsidP="0070621A">
            <w:pPr>
              <w:spacing w:line="360" w:lineRule="auto"/>
              <w:jc w:val="center"/>
              <w:rPr>
                <w:b/>
                <w:sz w:val="24"/>
                <w:szCs w:val="24"/>
              </w:rPr>
            </w:pPr>
            <w:r>
              <w:rPr>
                <w:b/>
                <w:sz w:val="24"/>
                <w:szCs w:val="24"/>
              </w:rPr>
              <w:t>Γράφημα 27</w:t>
            </w:r>
          </w:p>
          <w:p w14:paraId="02C6768C" w14:textId="130F9106" w:rsidR="004F167D" w:rsidRPr="0070621A" w:rsidRDefault="0070621A" w:rsidP="00143079">
            <w:pPr>
              <w:spacing w:line="360" w:lineRule="auto"/>
              <w:jc w:val="both"/>
              <w:rPr>
                <w:b/>
                <w:sz w:val="24"/>
                <w:szCs w:val="24"/>
              </w:rPr>
            </w:pPr>
            <w:r w:rsidRPr="00BA2556">
              <w:rPr>
                <w:b/>
                <w:sz w:val="24"/>
                <w:szCs w:val="24"/>
              </w:rPr>
              <w:t xml:space="preserve">Γενικά πώς αξιολογείτε το νέο ασφαλιστικό νομοσχέδιο που εισάγει το </w:t>
            </w:r>
            <w:proofErr w:type="spellStart"/>
            <w:r w:rsidRPr="00BA2556">
              <w:rPr>
                <w:b/>
                <w:sz w:val="24"/>
                <w:szCs w:val="24"/>
              </w:rPr>
              <w:t>κεφαλαιοποιητικό</w:t>
            </w:r>
            <w:proofErr w:type="spellEnd"/>
            <w:r w:rsidRPr="00BA2556">
              <w:rPr>
                <w:b/>
                <w:sz w:val="24"/>
                <w:szCs w:val="24"/>
              </w:rPr>
              <w:t xml:space="preserve"> σύστημα στην επικουρική ασφάλιση;</w:t>
            </w:r>
          </w:p>
        </w:tc>
      </w:tr>
      <w:tr w:rsidR="004F167D" w14:paraId="4D35D22B" w14:textId="77777777" w:rsidTr="004F167D">
        <w:tc>
          <w:tcPr>
            <w:tcW w:w="5282" w:type="dxa"/>
          </w:tcPr>
          <w:p w14:paraId="32401ABF" w14:textId="1E493CCD" w:rsidR="004F167D" w:rsidRDefault="004F167D" w:rsidP="00143079">
            <w:pPr>
              <w:spacing w:line="360" w:lineRule="auto"/>
              <w:jc w:val="both"/>
              <w:rPr>
                <w:bCs/>
                <w:sz w:val="24"/>
                <w:szCs w:val="24"/>
              </w:rPr>
            </w:pPr>
            <w:r w:rsidRPr="00215BF7">
              <w:rPr>
                <w:bCs/>
                <w:noProof/>
                <w:sz w:val="24"/>
                <w:szCs w:val="24"/>
                <w:lang w:val="en-US"/>
              </w:rPr>
              <w:drawing>
                <wp:inline distT="0" distB="0" distL="0" distR="0" wp14:anchorId="7AAE4848" wp14:editId="3F716311">
                  <wp:extent cx="3154680" cy="3451860"/>
                  <wp:effectExtent l="0" t="0" r="7620" b="1524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282" w:type="dxa"/>
          </w:tcPr>
          <w:p w14:paraId="604EE1B5" w14:textId="4564B994" w:rsidR="004F167D" w:rsidRDefault="0070621A" w:rsidP="00143079">
            <w:pPr>
              <w:spacing w:line="360" w:lineRule="auto"/>
              <w:jc w:val="both"/>
              <w:rPr>
                <w:bCs/>
                <w:sz w:val="24"/>
                <w:szCs w:val="24"/>
              </w:rPr>
            </w:pPr>
            <w:r w:rsidRPr="00BA2556">
              <w:rPr>
                <w:b/>
                <w:noProof/>
                <w:sz w:val="24"/>
                <w:szCs w:val="24"/>
                <w:lang w:val="en-US"/>
              </w:rPr>
              <w:drawing>
                <wp:inline distT="0" distB="0" distL="0" distR="0" wp14:anchorId="4430417A" wp14:editId="7167F50B">
                  <wp:extent cx="3215640" cy="3451860"/>
                  <wp:effectExtent l="0" t="0" r="3810" b="15240"/>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58995FCD" w14:textId="77777777" w:rsidR="00BA2556" w:rsidRDefault="00BA2556" w:rsidP="00153C6C">
      <w:pPr>
        <w:spacing w:after="0" w:line="240" w:lineRule="auto"/>
        <w:rPr>
          <w:rFonts w:ascii="Times New Roman" w:eastAsia="Times New Roman" w:hAnsi="Times New Roman" w:cs="Times New Roman"/>
          <w:b/>
          <w:sz w:val="24"/>
          <w:szCs w:val="24"/>
          <w:lang w:eastAsia="el-GR"/>
        </w:rPr>
      </w:pPr>
    </w:p>
    <w:p w14:paraId="21CDA5B5" w14:textId="36011A23" w:rsidR="00BA2556" w:rsidRDefault="00BA2556" w:rsidP="00487FB4">
      <w:pPr>
        <w:spacing w:after="0" w:line="240" w:lineRule="auto"/>
        <w:jc w:val="center"/>
        <w:rPr>
          <w:rFonts w:ascii="Times New Roman" w:eastAsia="Times New Roman" w:hAnsi="Times New Roman" w:cs="Times New Roman"/>
          <w:b/>
          <w:sz w:val="24"/>
          <w:szCs w:val="24"/>
          <w:lang w:eastAsia="el-GR"/>
        </w:rPr>
      </w:pPr>
    </w:p>
    <w:p w14:paraId="635482AF" w14:textId="77777777" w:rsidR="00045567" w:rsidRDefault="00045567" w:rsidP="00487FB4">
      <w:pPr>
        <w:spacing w:after="0" w:line="240" w:lineRule="auto"/>
        <w:jc w:val="center"/>
        <w:rPr>
          <w:rFonts w:ascii="Times New Roman" w:eastAsia="Times New Roman" w:hAnsi="Times New Roman" w:cs="Times New Roman"/>
          <w:b/>
          <w:sz w:val="24"/>
          <w:szCs w:val="24"/>
          <w:lang w:eastAsia="el-GR"/>
        </w:rPr>
      </w:pPr>
    </w:p>
    <w:p w14:paraId="0A64B88E" w14:textId="77777777" w:rsidR="00A71250" w:rsidRDefault="00A71250" w:rsidP="00487FB4">
      <w:pPr>
        <w:spacing w:after="0" w:line="240" w:lineRule="auto"/>
        <w:jc w:val="center"/>
        <w:rPr>
          <w:rFonts w:ascii="Times New Roman" w:eastAsia="Times New Roman" w:hAnsi="Times New Roman" w:cs="Times New Roman"/>
          <w:b/>
          <w:sz w:val="24"/>
          <w:szCs w:val="24"/>
          <w:lang w:eastAsia="el-GR"/>
        </w:rPr>
      </w:pPr>
    </w:p>
    <w:p w14:paraId="7AF3FBE4" w14:textId="0EFD2DAB" w:rsidR="002308D0" w:rsidRPr="00E36734" w:rsidRDefault="002308D0" w:rsidP="00487FB4">
      <w:pPr>
        <w:spacing w:after="0" w:line="240" w:lineRule="auto"/>
        <w:jc w:val="center"/>
        <w:rPr>
          <w:rFonts w:ascii="Times New Roman" w:eastAsia="Times New Roman" w:hAnsi="Times New Roman" w:cs="Times New Roman"/>
          <w:b/>
          <w:sz w:val="24"/>
          <w:szCs w:val="24"/>
          <w:lang w:val="en-US" w:eastAsia="el-GR"/>
        </w:rPr>
      </w:pPr>
      <w:r w:rsidRPr="00E36734">
        <w:rPr>
          <w:rFonts w:ascii="Times New Roman" w:eastAsia="Times New Roman" w:hAnsi="Times New Roman" w:cs="Times New Roman"/>
          <w:b/>
          <w:sz w:val="24"/>
          <w:szCs w:val="24"/>
          <w:lang w:eastAsia="el-GR"/>
        </w:rPr>
        <w:lastRenderedPageBreak/>
        <w:t>ΠΑΡΑΡΤΗΜΑ – ΣΥΝΘΕΣΗ ΔΕΙΓΜΑΤΟΣ</w:t>
      </w:r>
    </w:p>
    <w:p w14:paraId="7D1357EE" w14:textId="77777777" w:rsidR="00143079" w:rsidRPr="00E36734" w:rsidRDefault="00143079" w:rsidP="00143079">
      <w:pPr>
        <w:spacing w:after="0" w:line="240" w:lineRule="auto"/>
        <w:jc w:val="both"/>
        <w:rPr>
          <w:rFonts w:ascii="Times New Roman" w:eastAsia="Times New Roman" w:hAnsi="Times New Roman" w:cs="Times New Roman"/>
          <w:b/>
          <w:sz w:val="24"/>
          <w:szCs w:val="24"/>
          <w:lang w:eastAsia="el-GR"/>
        </w:rPr>
      </w:pPr>
    </w:p>
    <w:tbl>
      <w:tblPr>
        <w:tblW w:w="5000" w:type="pct"/>
        <w:tblCellMar>
          <w:left w:w="0" w:type="dxa"/>
          <w:right w:w="0" w:type="dxa"/>
        </w:tblCellMar>
        <w:tblLook w:val="0600" w:firstRow="0" w:lastRow="0" w:firstColumn="0" w:lastColumn="0" w:noHBand="1" w:noVBand="1"/>
      </w:tblPr>
      <w:tblGrid>
        <w:gridCol w:w="3885"/>
        <w:gridCol w:w="4679"/>
        <w:gridCol w:w="1811"/>
      </w:tblGrid>
      <w:tr w:rsidR="00487FB4" w:rsidRPr="00E36734" w14:paraId="3391A566" w14:textId="77777777" w:rsidTr="00487FB4">
        <w:trPr>
          <w:trHeight w:val="406"/>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D910E0"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1C7C5C66"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0B9BC497" w14:textId="01AE3B2F"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ΚΛΑΔΟΣ</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D18D46"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Arial" w:hint="eastAsia"/>
                <w:color w:val="000000"/>
                <w:kern w:val="24"/>
                <w:sz w:val="16"/>
                <w:szCs w:val="16"/>
              </w:rPr>
              <w:t>Εμ</w:t>
            </w:r>
            <w:proofErr w:type="spellEnd"/>
            <w:r w:rsidRPr="00E36734">
              <w:rPr>
                <w:rFonts w:ascii="Microsoft JhengHei UI" w:eastAsia="Microsoft JhengHei UI" w:hAnsi="Microsoft JhengHei UI" w:cs="Arial" w:hint="eastAsia"/>
                <w:color w:val="000000"/>
                <w:kern w:val="24"/>
                <w:sz w:val="16"/>
                <w:szCs w:val="16"/>
              </w:rPr>
              <w:t xml:space="preserve">πόριο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F25AE05" w14:textId="04202387" w:rsidR="00487FB4" w:rsidRPr="00BA2556" w:rsidRDefault="00487FB4" w:rsidP="00487FB4">
            <w:pPr>
              <w:spacing w:after="0" w:line="240" w:lineRule="auto"/>
              <w:jc w:val="center"/>
              <w:textAlignment w:val="center"/>
              <w:rPr>
                <w:rFonts w:ascii="Arial" w:eastAsia="Times New Roman" w:hAnsi="Arial" w:cs="Arial"/>
                <w:sz w:val="16"/>
                <w:szCs w:val="16"/>
              </w:rPr>
            </w:pPr>
            <w:r w:rsidRPr="00E36734">
              <w:rPr>
                <w:rFonts w:ascii="Microsoft JhengHei UI" w:eastAsia="Microsoft JhengHei UI" w:hAnsi="Microsoft JhengHei UI" w:cs="Arial" w:hint="eastAsia"/>
                <w:color w:val="000000"/>
                <w:kern w:val="24"/>
                <w:sz w:val="16"/>
                <w:szCs w:val="16"/>
                <w:lang w:val="en-US"/>
              </w:rPr>
              <w:t>37</w:t>
            </w:r>
            <w:r w:rsidR="00BA2556">
              <w:rPr>
                <w:rFonts w:ascii="Microsoft JhengHei UI" w:eastAsia="Microsoft JhengHei UI" w:hAnsi="Microsoft JhengHei UI" w:cs="Arial"/>
                <w:color w:val="000000"/>
                <w:kern w:val="24"/>
                <w:sz w:val="16"/>
                <w:szCs w:val="16"/>
              </w:rPr>
              <w:t>,9</w:t>
            </w:r>
          </w:p>
        </w:tc>
      </w:tr>
      <w:tr w:rsidR="00487FB4" w:rsidRPr="00E36734" w14:paraId="5393D29C" w14:textId="77777777" w:rsidTr="00487FB4">
        <w:trPr>
          <w:trHeight w:val="316"/>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582FAA4"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D65572"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Arial" w:hint="eastAsia"/>
                <w:color w:val="000000"/>
                <w:kern w:val="24"/>
                <w:sz w:val="16"/>
                <w:szCs w:val="16"/>
              </w:rPr>
              <w:t>Μετ</w:t>
            </w:r>
            <w:proofErr w:type="spellEnd"/>
            <w:r w:rsidRPr="00E36734">
              <w:rPr>
                <w:rFonts w:ascii="Microsoft JhengHei UI" w:eastAsia="Microsoft JhengHei UI" w:hAnsi="Microsoft JhengHei UI" w:cs="Arial" w:hint="eastAsia"/>
                <w:color w:val="000000"/>
                <w:kern w:val="24"/>
                <w:sz w:val="16"/>
                <w:szCs w:val="16"/>
              </w:rPr>
              <w:t>αποίηση</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598D79A" w14:textId="6EE500D2" w:rsidR="00487FB4" w:rsidRPr="00BA2556" w:rsidRDefault="00487FB4" w:rsidP="00487FB4">
            <w:pPr>
              <w:spacing w:after="0" w:line="240" w:lineRule="auto"/>
              <w:jc w:val="center"/>
              <w:textAlignment w:val="center"/>
              <w:rPr>
                <w:rFonts w:ascii="Arial" w:eastAsia="Times New Roman" w:hAnsi="Arial" w:cs="Arial"/>
                <w:sz w:val="16"/>
                <w:szCs w:val="16"/>
              </w:rPr>
            </w:pPr>
            <w:r w:rsidRPr="00E36734">
              <w:rPr>
                <w:rFonts w:ascii="Microsoft JhengHei UI" w:eastAsia="Microsoft JhengHei UI" w:hAnsi="Microsoft JhengHei UI" w:cs="Arial" w:hint="eastAsia"/>
                <w:color w:val="000000"/>
                <w:kern w:val="24"/>
                <w:sz w:val="16"/>
                <w:szCs w:val="16"/>
                <w:lang w:val="en-US"/>
              </w:rPr>
              <w:t>24</w:t>
            </w:r>
            <w:r w:rsidR="00BA2556">
              <w:rPr>
                <w:rFonts w:ascii="Microsoft JhengHei UI" w:eastAsia="Microsoft JhengHei UI" w:hAnsi="Microsoft JhengHei UI" w:cs="Arial"/>
                <w:color w:val="000000"/>
                <w:kern w:val="24"/>
                <w:sz w:val="16"/>
                <w:szCs w:val="16"/>
              </w:rPr>
              <w:t>,0</w:t>
            </w:r>
          </w:p>
        </w:tc>
      </w:tr>
      <w:tr w:rsidR="00487FB4" w:rsidRPr="00E36734" w14:paraId="09181A04" w14:textId="77777777" w:rsidTr="00487FB4">
        <w:trPr>
          <w:trHeight w:val="334"/>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69039631"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A5C8BE"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Υπ</w:t>
            </w:r>
            <w:proofErr w:type="spellStart"/>
            <w:r w:rsidRPr="00E36734">
              <w:rPr>
                <w:rFonts w:ascii="Microsoft JhengHei UI" w:eastAsia="Microsoft JhengHei UI" w:hAnsi="Microsoft JhengHei UI" w:cs="Arial" w:hint="eastAsia"/>
                <w:color w:val="000000"/>
                <w:kern w:val="24"/>
                <w:sz w:val="16"/>
                <w:szCs w:val="16"/>
              </w:rPr>
              <w:t>ηρεσίες</w:t>
            </w:r>
            <w:proofErr w:type="spellEnd"/>
            <w:r w:rsidRPr="00E36734">
              <w:rPr>
                <w:rFonts w:ascii="Microsoft JhengHei UI" w:eastAsia="Microsoft JhengHei UI" w:hAnsi="Microsoft JhengHei UI" w:cs="Arial" w:hint="eastAsia"/>
                <w:color w:val="000000"/>
                <w:kern w:val="24"/>
                <w:sz w:val="16"/>
                <w:szCs w:val="16"/>
              </w:rPr>
              <w:t xml:space="preserve">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812ECEC" w14:textId="345D88B2" w:rsidR="00487FB4" w:rsidRPr="00BA2556" w:rsidRDefault="00487FB4" w:rsidP="00487FB4">
            <w:pPr>
              <w:spacing w:after="0" w:line="240" w:lineRule="auto"/>
              <w:jc w:val="center"/>
              <w:textAlignment w:val="center"/>
              <w:rPr>
                <w:rFonts w:ascii="Arial" w:eastAsia="Times New Roman" w:hAnsi="Arial" w:cs="Arial"/>
                <w:sz w:val="16"/>
                <w:szCs w:val="16"/>
              </w:rPr>
            </w:pPr>
            <w:r w:rsidRPr="00E36734">
              <w:rPr>
                <w:rFonts w:ascii="Microsoft JhengHei UI" w:eastAsia="Microsoft JhengHei UI" w:hAnsi="Microsoft JhengHei UI" w:cs="Arial" w:hint="eastAsia"/>
                <w:color w:val="000000"/>
                <w:kern w:val="24"/>
                <w:sz w:val="16"/>
                <w:szCs w:val="16"/>
                <w:lang w:val="en-US"/>
              </w:rPr>
              <w:t>38</w:t>
            </w:r>
            <w:r w:rsidR="00BA2556">
              <w:rPr>
                <w:rFonts w:ascii="Microsoft JhengHei UI" w:eastAsia="Microsoft JhengHei UI" w:hAnsi="Microsoft JhengHei UI" w:cs="Arial"/>
                <w:color w:val="000000"/>
                <w:kern w:val="24"/>
                <w:sz w:val="16"/>
                <w:szCs w:val="16"/>
              </w:rPr>
              <w:t>,1</w:t>
            </w:r>
          </w:p>
        </w:tc>
      </w:tr>
      <w:tr w:rsidR="00487FB4" w:rsidRPr="00E36734" w14:paraId="7C17A2BE" w14:textId="77777777" w:rsidTr="00487FB4">
        <w:trPr>
          <w:trHeight w:val="316"/>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434D09"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1FC60E85"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6B890F7E"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7CAABDBA" w14:textId="24436AEC"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ΑΡΙΘΜΟΣ ΕΡΓΑΖΟΜΕΝΩΝ</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D3D8434"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Arial" w:hint="eastAsia"/>
                <w:color w:val="000000"/>
                <w:kern w:val="24"/>
                <w:sz w:val="16"/>
                <w:szCs w:val="16"/>
              </w:rPr>
              <w:t>Χωρίς</w:t>
            </w:r>
            <w:proofErr w:type="spellEnd"/>
            <w:r w:rsidRPr="00E36734">
              <w:rPr>
                <w:rFonts w:ascii="Microsoft JhengHei UI" w:eastAsia="Microsoft JhengHei UI" w:hAnsi="Microsoft JhengHei UI" w:cs="Arial" w:hint="eastAsia"/>
                <w:color w:val="000000"/>
                <w:kern w:val="24"/>
                <w:sz w:val="16"/>
                <w:szCs w:val="16"/>
              </w:rPr>
              <w:t xml:space="preserve"> π</w:t>
            </w:r>
            <w:proofErr w:type="spellStart"/>
            <w:r w:rsidRPr="00E36734">
              <w:rPr>
                <w:rFonts w:ascii="Microsoft JhengHei UI" w:eastAsia="Microsoft JhengHei UI" w:hAnsi="Microsoft JhengHei UI" w:cs="Arial" w:hint="eastAsia"/>
                <w:color w:val="000000"/>
                <w:kern w:val="24"/>
                <w:sz w:val="16"/>
                <w:szCs w:val="16"/>
              </w:rPr>
              <w:t>ροσω</w:t>
            </w:r>
            <w:proofErr w:type="spellEnd"/>
            <w:r w:rsidRPr="00E36734">
              <w:rPr>
                <w:rFonts w:ascii="Microsoft JhengHei UI" w:eastAsia="Microsoft JhengHei UI" w:hAnsi="Microsoft JhengHei UI" w:cs="Arial" w:hint="eastAsia"/>
                <w:color w:val="000000"/>
                <w:kern w:val="24"/>
                <w:sz w:val="16"/>
                <w:szCs w:val="16"/>
              </w:rPr>
              <w:t>πικό</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C058DA3" w14:textId="215527C8"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31,6</w:t>
            </w:r>
          </w:p>
        </w:tc>
      </w:tr>
      <w:tr w:rsidR="00487FB4" w:rsidRPr="00E36734" w14:paraId="2E8E0A45" w14:textId="77777777" w:rsidTr="00487FB4">
        <w:trPr>
          <w:trHeight w:val="337"/>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1CB4F08"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FA3B10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1 </w:t>
            </w:r>
            <w:proofErr w:type="spellStart"/>
            <w:r w:rsidRPr="00E36734">
              <w:rPr>
                <w:rFonts w:ascii="Microsoft JhengHei UI" w:eastAsia="Microsoft JhengHei UI" w:hAnsi="Microsoft JhengHei UI" w:cs="Arial" w:hint="eastAsia"/>
                <w:color w:val="000000"/>
                <w:kern w:val="24"/>
                <w:sz w:val="16"/>
                <w:szCs w:val="16"/>
              </w:rPr>
              <w:t>άτομο</w:t>
            </w:r>
            <w:proofErr w:type="spellEnd"/>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5CC6D69" w14:textId="0FA6C0B6"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20,5</w:t>
            </w:r>
          </w:p>
        </w:tc>
      </w:tr>
      <w:tr w:rsidR="00487FB4" w:rsidRPr="00E36734" w14:paraId="24F3D3A0" w14:textId="77777777" w:rsidTr="00487FB4">
        <w:trPr>
          <w:trHeight w:val="319"/>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A2CCA97"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364CE4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2-3 </w:t>
            </w:r>
            <w:proofErr w:type="spellStart"/>
            <w:r w:rsidRPr="00E36734">
              <w:rPr>
                <w:rFonts w:ascii="Microsoft JhengHei UI" w:eastAsia="Microsoft JhengHei UI" w:hAnsi="Microsoft JhengHei UI" w:cs="Arial" w:hint="eastAsia"/>
                <w:color w:val="000000"/>
                <w:kern w:val="24"/>
                <w:sz w:val="16"/>
                <w:szCs w:val="16"/>
              </w:rPr>
              <w:t>άτομ</w:t>
            </w:r>
            <w:proofErr w:type="spellEnd"/>
            <w:r w:rsidRPr="00E36734">
              <w:rPr>
                <w:rFonts w:ascii="Microsoft JhengHei UI" w:eastAsia="Microsoft JhengHei UI" w:hAnsi="Microsoft JhengHei UI" w:cs="Arial" w:hint="eastAsia"/>
                <w:color w:val="000000"/>
                <w:kern w:val="24"/>
                <w:sz w:val="16"/>
                <w:szCs w:val="16"/>
              </w:rPr>
              <w:t>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D4B832B" w14:textId="28B585E4"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21,8</w:t>
            </w:r>
          </w:p>
        </w:tc>
      </w:tr>
      <w:tr w:rsidR="00487FB4" w:rsidRPr="00E36734" w14:paraId="64E717F8" w14:textId="77777777" w:rsidTr="00487FB4">
        <w:trPr>
          <w:trHeight w:val="337"/>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90A7425"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116932B"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4-5 </w:t>
            </w:r>
            <w:proofErr w:type="spellStart"/>
            <w:r w:rsidRPr="00E36734">
              <w:rPr>
                <w:rFonts w:ascii="Microsoft JhengHei UI" w:eastAsia="Microsoft JhengHei UI" w:hAnsi="Microsoft JhengHei UI" w:cs="Arial" w:hint="eastAsia"/>
                <w:color w:val="000000"/>
                <w:kern w:val="24"/>
                <w:sz w:val="16"/>
                <w:szCs w:val="16"/>
              </w:rPr>
              <w:t>άτομ</w:t>
            </w:r>
            <w:proofErr w:type="spellEnd"/>
            <w:r w:rsidRPr="00E36734">
              <w:rPr>
                <w:rFonts w:ascii="Microsoft JhengHei UI" w:eastAsia="Microsoft JhengHei UI" w:hAnsi="Microsoft JhengHei UI" w:cs="Arial" w:hint="eastAsia"/>
                <w:color w:val="000000"/>
                <w:kern w:val="24"/>
                <w:sz w:val="16"/>
                <w:szCs w:val="16"/>
              </w:rPr>
              <w:t>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A18CFC2" w14:textId="10582216"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9,8</w:t>
            </w:r>
          </w:p>
        </w:tc>
      </w:tr>
      <w:tr w:rsidR="00BA2556" w:rsidRPr="00E36734" w14:paraId="1FAC04D1" w14:textId="77777777" w:rsidTr="00BA2556">
        <w:trPr>
          <w:trHeight w:val="3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08F84C6" w14:textId="77777777" w:rsidR="00BA2556" w:rsidRPr="00E36734" w:rsidRDefault="00BA2556"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right w:val="single" w:sz="8" w:space="0" w:color="000000"/>
            </w:tcBorders>
            <w:shd w:val="clear" w:color="auto" w:fill="auto"/>
            <w:tcMar>
              <w:top w:w="12" w:type="dxa"/>
              <w:left w:w="12" w:type="dxa"/>
              <w:bottom w:w="0" w:type="dxa"/>
              <w:right w:w="12" w:type="dxa"/>
            </w:tcMar>
            <w:vAlign w:val="center"/>
            <w:hideMark/>
          </w:tcPr>
          <w:p w14:paraId="6CE5672F" w14:textId="77777777" w:rsidR="00BA2556" w:rsidRPr="00E36734" w:rsidRDefault="00BA2556"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Arial" w:hint="eastAsia"/>
                <w:color w:val="000000"/>
                <w:kern w:val="24"/>
                <w:sz w:val="16"/>
                <w:szCs w:val="16"/>
              </w:rPr>
              <w:t>Πάνω</w:t>
            </w:r>
            <w:proofErr w:type="spellEnd"/>
            <w:r w:rsidRPr="00E36734">
              <w:rPr>
                <w:rFonts w:ascii="Microsoft JhengHei UI" w:eastAsia="Microsoft JhengHei UI" w:hAnsi="Microsoft JhengHei UI" w:cs="Arial" w:hint="eastAsia"/>
                <w:color w:val="000000"/>
                <w:kern w:val="24"/>
                <w:sz w:val="16"/>
                <w:szCs w:val="16"/>
              </w:rPr>
              <w:t xml:space="preserve"> από 5 </w:t>
            </w:r>
            <w:proofErr w:type="spellStart"/>
            <w:r w:rsidRPr="00E36734">
              <w:rPr>
                <w:rFonts w:ascii="Microsoft JhengHei UI" w:eastAsia="Microsoft JhengHei UI" w:hAnsi="Microsoft JhengHei UI" w:cs="Arial" w:hint="eastAsia"/>
                <w:color w:val="000000"/>
                <w:kern w:val="24"/>
                <w:sz w:val="16"/>
                <w:szCs w:val="16"/>
              </w:rPr>
              <w:t>άτομ</w:t>
            </w:r>
            <w:proofErr w:type="spellEnd"/>
            <w:r w:rsidRPr="00E36734">
              <w:rPr>
                <w:rFonts w:ascii="Microsoft JhengHei UI" w:eastAsia="Microsoft JhengHei UI" w:hAnsi="Microsoft JhengHei UI" w:cs="Arial" w:hint="eastAsia"/>
                <w:color w:val="000000"/>
                <w:kern w:val="24"/>
                <w:sz w:val="16"/>
                <w:szCs w:val="16"/>
              </w:rPr>
              <w:t>α</w:t>
            </w:r>
          </w:p>
        </w:tc>
        <w:tc>
          <w:tcPr>
            <w:tcW w:w="873" w:type="pct"/>
            <w:tcBorders>
              <w:top w:val="single" w:sz="8" w:space="0" w:color="000000"/>
              <w:left w:val="single" w:sz="8" w:space="0" w:color="000000"/>
              <w:right w:val="single" w:sz="8" w:space="0" w:color="000000"/>
            </w:tcBorders>
            <w:shd w:val="clear" w:color="auto" w:fill="auto"/>
            <w:tcMar>
              <w:top w:w="12" w:type="dxa"/>
              <w:left w:w="12" w:type="dxa"/>
              <w:bottom w:w="0" w:type="dxa"/>
              <w:right w:w="12" w:type="dxa"/>
            </w:tcMar>
            <w:vAlign w:val="center"/>
            <w:hideMark/>
          </w:tcPr>
          <w:p w14:paraId="37B46C50" w14:textId="75DA1B8E" w:rsidR="00BA2556"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16,3</w:t>
            </w:r>
          </w:p>
        </w:tc>
      </w:tr>
      <w:tr w:rsidR="00487FB4" w:rsidRPr="00E36734" w14:paraId="304BCDB6" w14:textId="77777777" w:rsidTr="00487FB4">
        <w:trPr>
          <w:trHeight w:val="316"/>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1DCAACA" w14:textId="77777777" w:rsidR="00BA2556" w:rsidRPr="00E36734" w:rsidRDefault="00BA2556" w:rsidP="00BA2556">
            <w:pPr>
              <w:spacing w:after="0" w:line="240" w:lineRule="auto"/>
              <w:textAlignment w:val="top"/>
              <w:rPr>
                <w:rFonts w:ascii="Microsoft JhengHei UI" w:eastAsia="Microsoft JhengHei UI" w:hAnsi="Microsoft JhengHei UI" w:cs="Arial"/>
                <w:color w:val="000000"/>
                <w:kern w:val="24"/>
                <w:sz w:val="16"/>
                <w:szCs w:val="16"/>
              </w:rPr>
            </w:pPr>
          </w:p>
          <w:p w14:paraId="28720446"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6273F673" w14:textId="7EDE703E" w:rsidR="00487FB4" w:rsidRPr="00E36734" w:rsidRDefault="00487FB4" w:rsidP="00BA2556">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ΕΤΗ ΛΕΙΤΟΥΡΓΙΑΣ</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C273C5"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Arial" w:hint="eastAsia"/>
                <w:color w:val="000000"/>
                <w:kern w:val="24"/>
                <w:sz w:val="16"/>
                <w:szCs w:val="16"/>
              </w:rPr>
              <w:t>έως</w:t>
            </w:r>
            <w:proofErr w:type="spellEnd"/>
            <w:r w:rsidRPr="00E36734">
              <w:rPr>
                <w:rFonts w:ascii="Microsoft JhengHei UI" w:eastAsia="Microsoft JhengHei UI" w:hAnsi="Microsoft JhengHei UI" w:cs="Arial" w:hint="eastAsia"/>
                <w:color w:val="000000"/>
                <w:kern w:val="24"/>
                <w:sz w:val="16"/>
                <w:szCs w:val="16"/>
              </w:rPr>
              <w:t xml:space="preserve"> 5 </w:t>
            </w:r>
            <w:proofErr w:type="spellStart"/>
            <w:r w:rsidRPr="00E36734">
              <w:rPr>
                <w:rFonts w:ascii="Microsoft JhengHei UI" w:eastAsia="Microsoft JhengHei UI" w:hAnsi="Microsoft JhengHei UI" w:cs="Arial" w:hint="eastAsia"/>
                <w:color w:val="000000"/>
                <w:kern w:val="24"/>
                <w:sz w:val="16"/>
                <w:szCs w:val="16"/>
              </w:rPr>
              <w:t>χρόνι</w:t>
            </w:r>
            <w:proofErr w:type="spellEnd"/>
            <w:r w:rsidRPr="00E36734">
              <w:rPr>
                <w:rFonts w:ascii="Microsoft JhengHei UI" w:eastAsia="Microsoft JhengHei UI" w:hAnsi="Microsoft JhengHei UI" w:cs="Arial" w:hint="eastAsia"/>
                <w:color w:val="000000"/>
                <w:kern w:val="24"/>
                <w:sz w:val="16"/>
                <w:szCs w:val="16"/>
              </w:rPr>
              <w:t xml:space="preserve">α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FE005CF"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6.9</w:t>
            </w:r>
          </w:p>
        </w:tc>
      </w:tr>
      <w:tr w:rsidR="00487FB4" w:rsidRPr="00E36734" w14:paraId="390032FC" w14:textId="77777777" w:rsidTr="00487FB4">
        <w:trPr>
          <w:trHeight w:val="334"/>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671F8E17"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9AF36E"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5-10 </w:t>
            </w:r>
            <w:proofErr w:type="spellStart"/>
            <w:r w:rsidRPr="00E36734">
              <w:rPr>
                <w:rFonts w:ascii="Microsoft JhengHei UI" w:eastAsia="Microsoft JhengHei UI" w:hAnsi="Microsoft JhengHei UI" w:cs="Arial" w:hint="eastAsia"/>
                <w:color w:val="000000"/>
                <w:kern w:val="24"/>
                <w:sz w:val="16"/>
                <w:szCs w:val="16"/>
              </w:rPr>
              <w:t>χρόνι</w:t>
            </w:r>
            <w:proofErr w:type="spellEnd"/>
            <w:r w:rsidRPr="00E36734">
              <w:rPr>
                <w:rFonts w:ascii="Microsoft JhengHei UI" w:eastAsia="Microsoft JhengHei UI" w:hAnsi="Microsoft JhengHei UI" w:cs="Arial" w:hint="eastAsia"/>
                <w:color w:val="000000"/>
                <w:kern w:val="24"/>
                <w:sz w:val="16"/>
                <w:szCs w:val="16"/>
              </w:rPr>
              <w:t xml:space="preserve">α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3798C18"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8.4</w:t>
            </w:r>
          </w:p>
        </w:tc>
      </w:tr>
      <w:tr w:rsidR="00487FB4" w:rsidRPr="00E36734" w14:paraId="435A62A7" w14:textId="77777777" w:rsidTr="00487FB4">
        <w:trPr>
          <w:trHeight w:val="226"/>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57B0C536"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8A9663"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10-15 </w:t>
            </w:r>
            <w:proofErr w:type="spellStart"/>
            <w:r w:rsidRPr="00E36734">
              <w:rPr>
                <w:rFonts w:ascii="Microsoft JhengHei UI" w:eastAsia="Microsoft JhengHei UI" w:hAnsi="Microsoft JhengHei UI" w:cs="Arial" w:hint="eastAsia"/>
                <w:color w:val="000000"/>
                <w:kern w:val="24"/>
                <w:sz w:val="16"/>
                <w:szCs w:val="16"/>
              </w:rPr>
              <w:t>χρόνι</w:t>
            </w:r>
            <w:proofErr w:type="spellEnd"/>
            <w:r w:rsidRPr="00E36734">
              <w:rPr>
                <w:rFonts w:ascii="Microsoft JhengHei UI" w:eastAsia="Microsoft JhengHei UI" w:hAnsi="Microsoft JhengHei UI" w:cs="Arial" w:hint="eastAsia"/>
                <w:color w:val="000000"/>
                <w:kern w:val="24"/>
                <w:sz w:val="16"/>
                <w:szCs w:val="16"/>
              </w:rPr>
              <w:t xml:space="preserve">α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6B831C6"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8.7</w:t>
            </w:r>
          </w:p>
        </w:tc>
      </w:tr>
      <w:tr w:rsidR="00487FB4" w:rsidRPr="00E36734" w14:paraId="24B45EA1" w14:textId="77777777" w:rsidTr="00487FB4">
        <w:trPr>
          <w:trHeight w:val="199"/>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D8785D1"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25AB5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Arial" w:hint="eastAsia"/>
                <w:color w:val="000000"/>
                <w:kern w:val="24"/>
                <w:sz w:val="16"/>
                <w:szCs w:val="16"/>
              </w:rPr>
              <w:t>Πάνω</w:t>
            </w:r>
            <w:proofErr w:type="spellEnd"/>
            <w:r w:rsidRPr="00E36734">
              <w:rPr>
                <w:rFonts w:ascii="Microsoft JhengHei UI" w:eastAsia="Microsoft JhengHei UI" w:hAnsi="Microsoft JhengHei UI" w:cs="Arial" w:hint="eastAsia"/>
                <w:color w:val="000000"/>
                <w:kern w:val="24"/>
                <w:sz w:val="16"/>
                <w:szCs w:val="16"/>
              </w:rPr>
              <w:t xml:space="preserve"> από 15 </w:t>
            </w:r>
            <w:proofErr w:type="spellStart"/>
            <w:r w:rsidRPr="00E36734">
              <w:rPr>
                <w:rFonts w:ascii="Microsoft JhengHei UI" w:eastAsia="Microsoft JhengHei UI" w:hAnsi="Microsoft JhengHei UI" w:cs="Arial" w:hint="eastAsia"/>
                <w:color w:val="000000"/>
                <w:kern w:val="24"/>
                <w:sz w:val="16"/>
                <w:szCs w:val="16"/>
              </w:rPr>
              <w:t>χρόνι</w:t>
            </w:r>
            <w:proofErr w:type="spellEnd"/>
            <w:r w:rsidRPr="00E36734">
              <w:rPr>
                <w:rFonts w:ascii="Microsoft JhengHei UI" w:eastAsia="Microsoft JhengHei UI" w:hAnsi="Microsoft JhengHei UI" w:cs="Arial" w:hint="eastAsia"/>
                <w:color w:val="000000"/>
                <w:kern w:val="24"/>
                <w:sz w:val="16"/>
                <w:szCs w:val="16"/>
              </w:rPr>
              <w:t>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72C2C82"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75.7</w:t>
            </w:r>
          </w:p>
        </w:tc>
      </w:tr>
      <w:tr w:rsidR="00487FB4" w:rsidRPr="00E36734" w14:paraId="16809A5E" w14:textId="77777777" w:rsidTr="00487FB4">
        <w:trPr>
          <w:trHeight w:val="262"/>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69F1371"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99E6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EFFCDA2"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0.3</w:t>
            </w:r>
          </w:p>
        </w:tc>
      </w:tr>
      <w:tr w:rsidR="00487FB4" w:rsidRPr="00E36734" w14:paraId="6743887C" w14:textId="77777777" w:rsidTr="00487FB4">
        <w:trPr>
          <w:trHeight w:val="453"/>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2B88BCB"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0916E8C7"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C00E2DC"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5C010B53"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B5CC79D"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2421E7FE" w14:textId="2F1C4A57"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ΤΖΙΡΟΣ 2020</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3CDD32A"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Microsoft Sans Serif" w:hint="eastAsia"/>
                <w:color w:val="000000"/>
                <w:kern w:val="24"/>
                <w:sz w:val="16"/>
                <w:szCs w:val="16"/>
              </w:rPr>
              <w:t>Κάτω</w:t>
            </w:r>
            <w:proofErr w:type="spellEnd"/>
            <w:r w:rsidRPr="00E36734">
              <w:rPr>
                <w:rFonts w:ascii="Microsoft JhengHei UI" w:eastAsia="Microsoft JhengHei UI" w:hAnsi="Microsoft JhengHei UI" w:cs="Microsoft Sans Serif" w:hint="eastAsia"/>
                <w:color w:val="000000"/>
                <w:kern w:val="24"/>
                <w:sz w:val="16"/>
                <w:szCs w:val="16"/>
              </w:rPr>
              <w:t xml:space="preserve"> από 50.000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A2ACE92" w14:textId="58B1FB58"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45,8</w:t>
            </w:r>
          </w:p>
        </w:tc>
      </w:tr>
      <w:tr w:rsidR="00487FB4" w:rsidRPr="00E36734" w14:paraId="5C09E40F"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24D7E7E6"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9E816C9"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50 </w:t>
            </w:r>
            <w:proofErr w:type="spellStart"/>
            <w:r w:rsidRPr="00E36734">
              <w:rPr>
                <w:rFonts w:ascii="Microsoft JhengHei UI" w:eastAsia="Microsoft JhengHei UI" w:hAnsi="Microsoft JhengHei UI" w:cs="Microsoft Sans Serif" w:hint="eastAsia"/>
                <w:color w:val="000000"/>
                <w:kern w:val="24"/>
                <w:sz w:val="16"/>
                <w:szCs w:val="16"/>
              </w:rPr>
              <w:t>έως</w:t>
            </w:r>
            <w:proofErr w:type="spellEnd"/>
            <w:r w:rsidRPr="00E36734">
              <w:rPr>
                <w:rFonts w:ascii="Microsoft JhengHei UI" w:eastAsia="Microsoft JhengHei UI" w:hAnsi="Microsoft JhengHei UI" w:cs="Microsoft Sans Serif" w:hint="eastAsia"/>
                <w:color w:val="000000"/>
                <w:kern w:val="24"/>
                <w:sz w:val="16"/>
                <w:szCs w:val="16"/>
              </w:rPr>
              <w:t xml:space="preserve"> 100.000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7BEC149" w14:textId="7A8FFE29"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14,8</w:t>
            </w:r>
          </w:p>
        </w:tc>
      </w:tr>
      <w:tr w:rsidR="00487FB4" w:rsidRPr="00E36734" w14:paraId="565B4793"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027F0BCA"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EF3ECEB"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100-300.000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ED4D77A" w14:textId="23D64631"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15,3</w:t>
            </w:r>
          </w:p>
        </w:tc>
      </w:tr>
      <w:tr w:rsidR="00487FB4" w:rsidRPr="00E36734" w14:paraId="0161AC77"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06D5AD98"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E7155DE"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300-500.000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CF80195" w14:textId="17287C89"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5,2</w:t>
            </w:r>
          </w:p>
        </w:tc>
      </w:tr>
      <w:tr w:rsidR="00487FB4" w:rsidRPr="00E36734" w14:paraId="360A75AA"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B22041C"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3046677"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500 -1.000.000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ADB9C5D" w14:textId="7E67AA8E"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4,6</w:t>
            </w:r>
          </w:p>
        </w:tc>
      </w:tr>
      <w:tr w:rsidR="00487FB4" w:rsidRPr="00E36734" w14:paraId="2E602828"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A50D3B3"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9D644C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Microsoft Sans Serif" w:hint="eastAsia"/>
                <w:color w:val="000000"/>
                <w:kern w:val="24"/>
                <w:sz w:val="16"/>
                <w:szCs w:val="16"/>
              </w:rPr>
              <w:t>Πάνω</w:t>
            </w:r>
            <w:proofErr w:type="spellEnd"/>
            <w:r w:rsidRPr="00E36734">
              <w:rPr>
                <w:rFonts w:ascii="Microsoft JhengHei UI" w:eastAsia="Microsoft JhengHei UI" w:hAnsi="Microsoft JhengHei UI" w:cs="Microsoft Sans Serif" w:hint="eastAsia"/>
                <w:color w:val="000000"/>
                <w:kern w:val="24"/>
                <w:sz w:val="16"/>
                <w:szCs w:val="16"/>
              </w:rPr>
              <w:t xml:space="preserve"> από 1.000.0000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C1A7750" w14:textId="60CB72DE"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4,2</w:t>
            </w:r>
          </w:p>
        </w:tc>
      </w:tr>
      <w:tr w:rsidR="00487FB4" w:rsidRPr="00E36734" w14:paraId="2CF0B9F5"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9F1562E"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A83FFC5"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4F81956" w14:textId="6D2ADB9F"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10,1</w:t>
            </w:r>
          </w:p>
        </w:tc>
      </w:tr>
      <w:tr w:rsidR="00487FB4" w:rsidRPr="00E36734" w14:paraId="24476007" w14:textId="77777777" w:rsidTr="00487FB4">
        <w:trPr>
          <w:trHeight w:val="453"/>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778BC4A"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0412E5C"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C838C39"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2A1AAAF2" w14:textId="3F9C5C09"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ΠΕΡΙΟΧΗ</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C1CCF91"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EL3 </w:t>
            </w:r>
            <w:r w:rsidRPr="00E36734">
              <w:rPr>
                <w:rFonts w:ascii="Microsoft JhengHei UI" w:eastAsia="Microsoft JhengHei UI" w:hAnsi="Microsoft JhengHei UI" w:cs="Microsoft Sans Serif" w:hint="eastAsia"/>
                <w:color w:val="000000"/>
                <w:kern w:val="24"/>
                <w:sz w:val="16"/>
                <w:szCs w:val="16"/>
              </w:rPr>
              <w:t>ΑΤΤΙΚΗ</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853DCB8" w14:textId="4BDECF1F"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36,8</w:t>
            </w:r>
          </w:p>
        </w:tc>
      </w:tr>
      <w:tr w:rsidR="00487FB4" w:rsidRPr="00E36734" w14:paraId="523490BB"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613BB692"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AD7EA90"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EL4 </w:t>
            </w:r>
            <w:r w:rsidRPr="00E36734">
              <w:rPr>
                <w:rFonts w:ascii="Microsoft JhengHei UI" w:eastAsia="Microsoft JhengHei UI" w:hAnsi="Microsoft JhengHei UI" w:cs="Microsoft Sans Serif" w:hint="eastAsia"/>
                <w:color w:val="000000"/>
                <w:kern w:val="24"/>
                <w:sz w:val="16"/>
                <w:szCs w:val="16"/>
              </w:rPr>
              <w:t>ΝΗΣΙΑ ΑΙΓΑΙΟΥ &amp; ΚΡΗΤΗ</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84E62E3" w14:textId="4D32889C"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12,7</w:t>
            </w:r>
          </w:p>
        </w:tc>
      </w:tr>
      <w:tr w:rsidR="00487FB4" w:rsidRPr="00E36734" w14:paraId="4B242AAB"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5A12FD9"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3B57079"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EL5 </w:t>
            </w:r>
            <w:r w:rsidRPr="00E36734">
              <w:rPr>
                <w:rFonts w:ascii="Microsoft JhengHei UI" w:eastAsia="Microsoft JhengHei UI" w:hAnsi="Microsoft JhengHei UI" w:cs="Microsoft Sans Serif" w:hint="eastAsia"/>
                <w:color w:val="000000"/>
                <w:kern w:val="24"/>
                <w:sz w:val="16"/>
                <w:szCs w:val="16"/>
              </w:rPr>
              <w:t>ΒΟΡΕΙΑ ΕΛΛΑΔΑ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A8A739" w14:textId="3C7B801D"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26,9</w:t>
            </w:r>
          </w:p>
        </w:tc>
      </w:tr>
      <w:tr w:rsidR="00487FB4" w:rsidRPr="00E36734" w14:paraId="35432FC6"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585D0CA"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9A7BA16"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EL6 </w:t>
            </w:r>
            <w:r w:rsidRPr="00E36734">
              <w:rPr>
                <w:rFonts w:ascii="Microsoft JhengHei UI" w:eastAsia="Microsoft JhengHei UI" w:hAnsi="Microsoft JhengHei UI" w:cs="Microsoft Sans Serif" w:hint="eastAsia"/>
                <w:color w:val="000000"/>
                <w:kern w:val="24"/>
                <w:sz w:val="16"/>
                <w:szCs w:val="16"/>
              </w:rPr>
              <w:t>ΚΕΝΤΡΙΚΗ ΕΛΛΑΔΑ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9ABCA0" w14:textId="2221E017"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23,6</w:t>
            </w:r>
          </w:p>
        </w:tc>
      </w:tr>
      <w:tr w:rsidR="00487FB4" w:rsidRPr="00E36734" w14:paraId="3D8DAB5B" w14:textId="77777777" w:rsidTr="00487FB4">
        <w:trPr>
          <w:trHeight w:val="453"/>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A37E98F"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14864B5B"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1457B9AB"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D8C9D43" w14:textId="7F0595FB"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ΝΟΜΙΚΗ ΜΟΡΦΗ</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67A077B"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ΑΕ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27DC223" w14:textId="467399F1" w:rsidR="00487FB4" w:rsidRPr="00BA2556" w:rsidRDefault="00BA2556"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8,8</w:t>
            </w:r>
          </w:p>
        </w:tc>
      </w:tr>
      <w:tr w:rsidR="00487FB4" w:rsidRPr="00E36734" w14:paraId="51968DC4"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EF39873"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22C5E2C"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ΟΕ-ΕΕ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B25BB7D" w14:textId="0BCC92EB" w:rsidR="00487FB4" w:rsidRPr="0009752A" w:rsidRDefault="0009752A"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18,8</w:t>
            </w:r>
          </w:p>
        </w:tc>
      </w:tr>
      <w:tr w:rsidR="00487FB4" w:rsidRPr="00E36734" w14:paraId="3D36DED0"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7C96C80"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5542B3D"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ΕΠΕ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90B9A9A" w14:textId="45E2ED05" w:rsidR="00487FB4" w:rsidRPr="0009752A" w:rsidRDefault="0009752A"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3,5</w:t>
            </w:r>
          </w:p>
        </w:tc>
      </w:tr>
      <w:tr w:rsidR="00487FB4" w:rsidRPr="00E36734" w14:paraId="0D9FF100"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D0E955F"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385461D"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ΙΚΕ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ADF8FE4" w14:textId="43608DE5" w:rsidR="00487FB4" w:rsidRPr="0009752A" w:rsidRDefault="0009752A"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5,5</w:t>
            </w:r>
          </w:p>
        </w:tc>
      </w:tr>
      <w:tr w:rsidR="00487FB4" w:rsidRPr="00E36734" w14:paraId="21886E8A"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BED584D"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B6170DD"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proofErr w:type="spellStart"/>
            <w:r w:rsidRPr="00E36734">
              <w:rPr>
                <w:rFonts w:ascii="Microsoft JhengHei UI" w:eastAsia="Microsoft JhengHei UI" w:hAnsi="Microsoft JhengHei UI" w:cs="Microsoft Sans Serif" w:hint="eastAsia"/>
                <w:color w:val="000000"/>
                <w:kern w:val="24"/>
                <w:sz w:val="16"/>
                <w:szCs w:val="16"/>
              </w:rPr>
              <w:t>Ατομική</w:t>
            </w:r>
            <w:proofErr w:type="spellEnd"/>
            <w:r w:rsidRPr="00E36734">
              <w:rPr>
                <w:rFonts w:ascii="Microsoft JhengHei UI" w:eastAsia="Microsoft JhengHei UI" w:hAnsi="Microsoft JhengHei UI" w:cs="Microsoft Sans Serif" w:hint="eastAsia"/>
                <w:color w:val="000000"/>
                <w:kern w:val="24"/>
                <w:sz w:val="16"/>
                <w:szCs w:val="16"/>
              </w:rPr>
              <w:t xml:space="preserve">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433C7E6" w14:textId="4D3D92F1" w:rsidR="00487FB4" w:rsidRPr="0009752A" w:rsidRDefault="0009752A" w:rsidP="00487FB4">
            <w:pPr>
              <w:spacing w:after="0" w:line="240" w:lineRule="auto"/>
              <w:jc w:val="center"/>
              <w:textAlignment w:val="center"/>
              <w:rPr>
                <w:rFonts w:ascii="Arial" w:eastAsia="Times New Roman" w:hAnsi="Arial" w:cs="Arial"/>
                <w:sz w:val="16"/>
                <w:szCs w:val="16"/>
              </w:rPr>
            </w:pPr>
            <w:r>
              <w:rPr>
                <w:rFonts w:ascii="Microsoft JhengHei UI" w:eastAsia="Microsoft JhengHei UI" w:hAnsi="Microsoft JhengHei UI" w:cs="Arial"/>
                <w:color w:val="000000"/>
                <w:kern w:val="24"/>
                <w:sz w:val="16"/>
                <w:szCs w:val="16"/>
              </w:rPr>
              <w:t>63,4</w:t>
            </w:r>
          </w:p>
        </w:tc>
      </w:tr>
    </w:tbl>
    <w:p w14:paraId="47DF5471" w14:textId="77777777" w:rsidR="0009752A" w:rsidRDefault="0009752A" w:rsidP="00CC546C">
      <w:pPr>
        <w:spacing w:after="0" w:line="360" w:lineRule="auto"/>
        <w:jc w:val="both"/>
        <w:rPr>
          <w:rFonts w:ascii="Times New Roman" w:eastAsia="Times New Roman" w:hAnsi="Times New Roman" w:cs="Times New Roman"/>
          <w:b/>
          <w:sz w:val="24"/>
          <w:szCs w:val="24"/>
          <w:lang w:eastAsia="el-GR"/>
        </w:rPr>
      </w:pPr>
    </w:p>
    <w:p w14:paraId="5B1383C0" w14:textId="77777777" w:rsidR="0009752A" w:rsidRDefault="0009752A" w:rsidP="00CC546C">
      <w:pPr>
        <w:spacing w:after="0" w:line="360" w:lineRule="auto"/>
        <w:jc w:val="both"/>
        <w:rPr>
          <w:rFonts w:ascii="Times New Roman" w:eastAsia="Times New Roman" w:hAnsi="Times New Roman" w:cs="Times New Roman"/>
          <w:b/>
          <w:sz w:val="24"/>
          <w:szCs w:val="24"/>
          <w:lang w:eastAsia="el-GR"/>
        </w:rPr>
      </w:pPr>
    </w:p>
    <w:p w14:paraId="064FECEE" w14:textId="5DB7465F" w:rsidR="00CC546C" w:rsidRPr="00E36734" w:rsidRDefault="00CC546C" w:rsidP="00CC546C">
      <w:pPr>
        <w:spacing w:after="0" w:line="360" w:lineRule="auto"/>
        <w:jc w:val="both"/>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lastRenderedPageBreak/>
        <w:t>Η έρευνα υλοποιήθηκε στο πλαίσιο του έργου «Παρεμβάσεις της ΓΣΕΒΕΕ για τη συστηματική παρακολούθηση και πρόγνωση αλλαγών του παραγωγικού και επιχειρηματικού περιβάλλοντος των μικρομεσαίων επιχειρήσεων» με κωδικό ΟΠΣ 5003864. Το έργο συγχρηματοδοτείται από την Ελλάδα και την Ευρωπαϊκή Ένωση (Ευρωπαϊκό Κοινωνικό Ταμείο) μέσω του Επιχειρησιακού Προγράμματος «Ανταγωνιστικότητα, Επιχειρηματικότητα &amp; Καινοτομία 2014-2020».</w:t>
      </w:r>
    </w:p>
    <w:p w14:paraId="434111EB" w14:textId="77777777" w:rsidR="00CC546C" w:rsidRPr="00E36734" w:rsidRDefault="00CC546C" w:rsidP="00CC546C">
      <w:pPr>
        <w:spacing w:after="0" w:line="360" w:lineRule="auto"/>
        <w:jc w:val="both"/>
        <w:rPr>
          <w:rFonts w:ascii="Times New Roman" w:eastAsia="Times New Roman" w:hAnsi="Times New Roman" w:cs="Times New Roman"/>
          <w:sz w:val="24"/>
          <w:szCs w:val="24"/>
          <w:lang w:eastAsia="el-GR"/>
        </w:rPr>
      </w:pPr>
    </w:p>
    <w:p w14:paraId="32594BB3" w14:textId="77777777" w:rsidR="00CC546C" w:rsidRPr="00761263" w:rsidRDefault="00CC546C" w:rsidP="00CC546C">
      <w:pPr>
        <w:spacing w:after="0" w:line="360" w:lineRule="auto"/>
        <w:jc w:val="both"/>
        <w:rPr>
          <w:rFonts w:ascii="Times New Roman" w:eastAsia="Times New Roman" w:hAnsi="Times New Roman" w:cs="Times New Roman"/>
          <w:sz w:val="24"/>
          <w:szCs w:val="24"/>
          <w:lang w:eastAsia="el-GR"/>
        </w:rPr>
      </w:pPr>
      <w:r w:rsidRPr="00E36734">
        <w:rPr>
          <w:noProof/>
          <w:lang w:val="en-US"/>
        </w:rPr>
        <w:drawing>
          <wp:inline distT="0" distB="0" distL="0" distR="0" wp14:anchorId="42A0B797" wp14:editId="2AB00728">
            <wp:extent cx="6562718" cy="942975"/>
            <wp:effectExtent l="0" t="0" r="0" b="0"/>
            <wp:docPr id="5" name="Εικόνα 5" descr="C:\Users\Thanopoulos\AppData\Local\Microsoft\Windows\INetCache\Content.Word\Ypourgeio-ependyseis3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opoulos\AppData\Local\Microsoft\Windows\INetCache\Content.Word\Ypourgeio-ependyseis3ΕΚΤ.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70980" cy="944162"/>
                    </a:xfrm>
                    <a:prstGeom prst="rect">
                      <a:avLst/>
                    </a:prstGeom>
                    <a:noFill/>
                    <a:ln>
                      <a:noFill/>
                    </a:ln>
                  </pic:spPr>
                </pic:pic>
              </a:graphicData>
            </a:graphic>
          </wp:inline>
        </w:drawing>
      </w:r>
    </w:p>
    <w:p w14:paraId="26B9D803" w14:textId="77777777" w:rsidR="00CC546C" w:rsidRDefault="00CC546C" w:rsidP="00CC546C">
      <w:pPr>
        <w:spacing w:after="0" w:line="240" w:lineRule="auto"/>
        <w:jc w:val="center"/>
        <w:rPr>
          <w:rFonts w:ascii="Times New Roman" w:eastAsia="Times New Roman" w:hAnsi="Times New Roman" w:cs="Times New Roman"/>
          <w:b/>
          <w:sz w:val="24"/>
          <w:szCs w:val="24"/>
          <w:lang w:eastAsia="el-GR"/>
        </w:rPr>
      </w:pPr>
    </w:p>
    <w:bookmarkEnd w:id="0"/>
    <w:p w14:paraId="34AF7184" w14:textId="77777777" w:rsidR="00487FB4" w:rsidRPr="00761263" w:rsidRDefault="00487FB4" w:rsidP="00143079">
      <w:pPr>
        <w:spacing w:after="0" w:line="360" w:lineRule="auto"/>
        <w:jc w:val="both"/>
        <w:rPr>
          <w:rFonts w:ascii="Times New Roman" w:eastAsia="Times New Roman" w:hAnsi="Times New Roman" w:cs="Times New Roman"/>
          <w:color w:val="FF0000"/>
          <w:sz w:val="24"/>
          <w:szCs w:val="24"/>
          <w:lang w:eastAsia="el-GR"/>
        </w:rPr>
      </w:pPr>
    </w:p>
    <w:sectPr w:rsidR="00487FB4" w:rsidRPr="00761263" w:rsidSect="006E7CAE">
      <w:headerReference w:type="default" r:id="rId37"/>
      <w:footerReference w:type="default" r:id="rId38"/>
      <w:pgSz w:w="11906" w:h="16838"/>
      <w:pgMar w:top="1440" w:right="849"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CC12" w14:textId="77777777" w:rsidR="00796D5B" w:rsidRDefault="00796D5B">
      <w:pPr>
        <w:spacing w:after="0" w:line="240" w:lineRule="auto"/>
      </w:pPr>
      <w:r>
        <w:separator/>
      </w:r>
    </w:p>
  </w:endnote>
  <w:endnote w:type="continuationSeparator" w:id="0">
    <w:p w14:paraId="7AA7D4D7" w14:textId="77777777" w:rsidR="00796D5B" w:rsidRDefault="0079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UI">
    <w:altName w:val="Arial Unicode MS"/>
    <w:panose1 w:val="020B0604030504040204"/>
    <w:charset w:val="88"/>
    <w:family w:val="swiss"/>
    <w:pitch w:val="variable"/>
    <w:sig w:usb0="000002A7" w:usb1="28CF4400" w:usb2="00000016" w:usb3="00000000" w:csb0="00100009" w:csb1="00000000"/>
  </w:font>
  <w:font w:name="+mn-cs">
    <w:panose1 w:val="00000000000000000000"/>
    <w:charset w:val="00"/>
    <w:family w:val="roman"/>
    <w:notTrueType/>
    <w:pitch w:val="default"/>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854802"/>
      <w:docPartObj>
        <w:docPartGallery w:val="Page Numbers (Bottom of Page)"/>
        <w:docPartUnique/>
      </w:docPartObj>
    </w:sdtPr>
    <w:sdtEndPr>
      <w:rPr>
        <w:noProof/>
      </w:rPr>
    </w:sdtEndPr>
    <w:sdtContent>
      <w:p w14:paraId="278A04C6" w14:textId="77777777" w:rsidR="00FA5CFC" w:rsidRDefault="00FA5CFC">
        <w:pPr>
          <w:pStyle w:val="a8"/>
          <w:jc w:val="right"/>
        </w:pPr>
        <w:r>
          <w:fldChar w:fldCharType="begin"/>
        </w:r>
        <w:r>
          <w:instrText xml:space="preserve"> PAGE   \* MERGEFORMAT </w:instrText>
        </w:r>
        <w:r>
          <w:fldChar w:fldCharType="separate"/>
        </w:r>
        <w:r w:rsidR="0035692C">
          <w:rPr>
            <w:noProof/>
          </w:rPr>
          <w:t>40</w:t>
        </w:r>
        <w:r>
          <w:rPr>
            <w:noProof/>
          </w:rPr>
          <w:fldChar w:fldCharType="end"/>
        </w:r>
      </w:p>
    </w:sdtContent>
  </w:sdt>
  <w:p w14:paraId="74E5F68B" w14:textId="77777777" w:rsidR="00FA5CFC" w:rsidRDefault="00FA5C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2DE9" w14:textId="77777777" w:rsidR="00796D5B" w:rsidRDefault="00796D5B">
      <w:pPr>
        <w:spacing w:after="0" w:line="240" w:lineRule="auto"/>
      </w:pPr>
      <w:r>
        <w:separator/>
      </w:r>
    </w:p>
  </w:footnote>
  <w:footnote w:type="continuationSeparator" w:id="0">
    <w:p w14:paraId="685E2ED4" w14:textId="77777777" w:rsidR="00796D5B" w:rsidRDefault="00796D5B">
      <w:pPr>
        <w:spacing w:after="0" w:line="240" w:lineRule="auto"/>
      </w:pPr>
      <w:r>
        <w:continuationSeparator/>
      </w:r>
    </w:p>
  </w:footnote>
  <w:footnote w:id="1">
    <w:p w14:paraId="186FAAAA" w14:textId="12D82A1D" w:rsidR="00FA5CFC" w:rsidRPr="00C80938" w:rsidRDefault="00FA5CFC" w:rsidP="00C80938">
      <w:pPr>
        <w:spacing w:after="0" w:line="360" w:lineRule="auto"/>
        <w:jc w:val="both"/>
        <w:rPr>
          <w:rFonts w:ascii="Times New Roman" w:hAnsi="Times New Roman" w:cs="Times New Roman"/>
          <w:sz w:val="16"/>
          <w:szCs w:val="16"/>
        </w:rPr>
      </w:pPr>
      <w:r w:rsidRPr="00B841AC">
        <w:rPr>
          <w:rStyle w:val="ae"/>
        </w:rPr>
        <w:footnoteRef/>
      </w:r>
      <w:r w:rsidRPr="00B841AC">
        <w:t xml:space="preserve"> </w:t>
      </w:r>
      <w:r w:rsidRPr="00B841AC">
        <w:rPr>
          <w:rFonts w:ascii="Times New Roman" w:hAnsi="Times New Roman" w:cs="Times New Roman"/>
          <w:sz w:val="16"/>
          <w:szCs w:val="16"/>
        </w:rPr>
        <w:t xml:space="preserve">Η παρούσα έρευνα είναι η </w:t>
      </w:r>
      <w:r>
        <w:rPr>
          <w:rFonts w:ascii="Times New Roman" w:hAnsi="Times New Roman" w:cs="Times New Roman"/>
          <w:sz w:val="16"/>
          <w:szCs w:val="16"/>
        </w:rPr>
        <w:t>δεύτερη</w:t>
      </w:r>
      <w:r w:rsidRPr="00B841AC">
        <w:rPr>
          <w:rFonts w:ascii="Times New Roman" w:hAnsi="Times New Roman" w:cs="Times New Roman"/>
          <w:sz w:val="16"/>
          <w:szCs w:val="16"/>
        </w:rPr>
        <w:t xml:space="preserve"> για το 2021 που διεξάγει το Ινστιτούτο Μικρών Επιχειρήσεων της ΓΣΕΒΕΕ</w:t>
      </w:r>
      <w:r w:rsidRPr="00B841AC">
        <w:t xml:space="preserve"> </w:t>
      </w:r>
      <w:r w:rsidRPr="00B841AC">
        <w:rPr>
          <w:rFonts w:ascii="Times New Roman" w:hAnsi="Times New Roman" w:cs="Times New Roman"/>
          <w:sz w:val="16"/>
          <w:szCs w:val="16"/>
        </w:rPr>
        <w:t xml:space="preserve">σε εξαμηνιαία βάση από τον Μάιο του 2009 . </w:t>
      </w:r>
      <w:r w:rsidRPr="00AF06F5">
        <w:rPr>
          <w:rFonts w:ascii="Times New Roman" w:hAnsi="Times New Roman" w:cs="Times New Roman"/>
          <w:b/>
          <w:bCs/>
          <w:sz w:val="16"/>
          <w:szCs w:val="16"/>
        </w:rPr>
        <w:t>Οι τηλεφωνικές συνεντεύξεις διενεργήθηκαν από την εταιρία MARC AE σε πανελλαδικό δείγμα 804 πολύ μικρών και μικρών επιχειρήσεων (0-49 άτομα προσωπικό), στο διάστημα 19-29 Ιουλίου 2021.</w:t>
      </w:r>
      <w:r w:rsidRPr="00B841AC">
        <w:rPr>
          <w:rFonts w:ascii="Times New Roman" w:hAnsi="Times New Roman" w:cs="Times New Roman"/>
          <w:sz w:val="16"/>
          <w:szCs w:val="16"/>
        </w:rPr>
        <w:t xml:space="preserve"> Η έρευνα έχει ως</w:t>
      </w:r>
      <w:r w:rsidRPr="00C80938">
        <w:rPr>
          <w:rFonts w:ascii="Times New Roman" w:hAnsi="Times New Roman" w:cs="Times New Roman"/>
          <w:sz w:val="16"/>
          <w:szCs w:val="16"/>
        </w:rPr>
        <w:t xml:space="preserve"> βασικό στόχο την αποτύπωση του οικονομικού κλίματος στις πολύ μικρές και μικρές επιχειρήσεις, στους κλάδους της μεταποίησης, του εμπορίου και των υπηρεσιών, που αποτελούν το 99,6% των επιχειρήσεων στην Ελλάδα. Τα ευρήματα αυτής της έρευνας μπορούν να συγκριθούν με τα αντίστοιχα των προη</w:t>
      </w:r>
      <w:r>
        <w:rPr>
          <w:rFonts w:ascii="Times New Roman" w:hAnsi="Times New Roman" w:cs="Times New Roman"/>
          <w:sz w:val="16"/>
          <w:szCs w:val="16"/>
        </w:rPr>
        <w:t>γούμενων ερευνών (Μάιος 2009 – Φεβρουάριος 2021</w:t>
      </w:r>
      <w:r w:rsidRPr="00C80938">
        <w:rPr>
          <w:rFonts w:ascii="Times New Roman" w:hAnsi="Times New Roman" w:cs="Times New Roman"/>
          <w:sz w:val="16"/>
          <w:szCs w:val="16"/>
        </w:rPr>
        <w:t>). Οι έρευνες αυτές αποτελούν το μοναδικό εργαλείο, σε πανελλαδικό επίπεδο, για την καταγραφή της κατάστασης και της πορείας του μεγαλύτερου τμήματος της πραγματικής οικονομίας στην Ελλάδα. Τα πρωτογενή δεδομένα οικονομικών και επιχειρηματικών προσδοκιών χρησιμοποιούνται από την Ευρωπαϊκή Συνομοσπονδία Μικρομεσαίων Επιχειρήσεων (</w:t>
      </w:r>
      <w:r w:rsidRPr="00C80938">
        <w:rPr>
          <w:rFonts w:ascii="Times New Roman" w:hAnsi="Times New Roman" w:cs="Times New Roman"/>
          <w:sz w:val="16"/>
          <w:szCs w:val="16"/>
          <w:lang w:val="en-US"/>
        </w:rPr>
        <w:t>SME</w:t>
      </w:r>
      <w:r w:rsidRPr="00C80938">
        <w:rPr>
          <w:rFonts w:ascii="Times New Roman" w:hAnsi="Times New Roman" w:cs="Times New Roman"/>
          <w:sz w:val="16"/>
          <w:szCs w:val="16"/>
        </w:rPr>
        <w:t xml:space="preserve"> </w:t>
      </w:r>
      <w:r w:rsidRPr="00C80938">
        <w:rPr>
          <w:rFonts w:ascii="Times New Roman" w:hAnsi="Times New Roman" w:cs="Times New Roman"/>
          <w:sz w:val="16"/>
          <w:szCs w:val="16"/>
          <w:lang w:val="en-US"/>
        </w:rPr>
        <w:t>United</w:t>
      </w:r>
      <w:r w:rsidRPr="00C80938">
        <w:rPr>
          <w:rFonts w:ascii="Times New Roman" w:hAnsi="Times New Roman" w:cs="Times New Roman"/>
          <w:sz w:val="16"/>
          <w:szCs w:val="16"/>
        </w:rPr>
        <w:t xml:space="preserve">) για την κατασκευή των δεικτών ευρωπαϊκού οικονομικού κλίματος και είναι συγκρίσιμα με τα στοιχεία άλλων χωρών της ΕΕ. </w:t>
      </w:r>
      <w:r>
        <w:rPr>
          <w:rFonts w:ascii="Times New Roman" w:hAnsi="Times New Roman" w:cs="Times New Roman"/>
          <w:sz w:val="16"/>
          <w:szCs w:val="16"/>
        </w:rPr>
        <w:t xml:space="preserve"> </w:t>
      </w:r>
      <w:r w:rsidRPr="00C80938">
        <w:rPr>
          <w:rFonts w:ascii="Times New Roman" w:hAnsi="Times New Roman" w:cs="Times New Roman"/>
          <w:sz w:val="16"/>
          <w:szCs w:val="16"/>
        </w:rPr>
        <w:t xml:space="preserve">Όπως και στις προηγούμενες έρευνες, έτσι και τώρα, υπάρχει μια σαφής καταγραφή των τάσεων του οικονομικού κλίματος καθώς και η παρακολούθηση των βασικών δεικτών λειτουργίας των μικρών επιχειρήσεων κατά το </w:t>
      </w:r>
      <w:r>
        <w:rPr>
          <w:rFonts w:ascii="Times New Roman" w:hAnsi="Times New Roman" w:cs="Times New Roman"/>
          <w:sz w:val="16"/>
          <w:szCs w:val="16"/>
        </w:rPr>
        <w:t>Α εξάμηνο του 2021</w:t>
      </w:r>
      <w:r w:rsidRPr="00C80938">
        <w:rPr>
          <w:rFonts w:ascii="Times New Roman" w:hAnsi="Times New Roman" w:cs="Times New Roman"/>
          <w:sz w:val="16"/>
          <w:szCs w:val="16"/>
        </w:rPr>
        <w:t xml:space="preserve">, ενώ παράλληλα επιχειρείται οικονομική πρόβλεψη για το </w:t>
      </w:r>
      <w:r>
        <w:rPr>
          <w:rFonts w:ascii="Times New Roman" w:hAnsi="Times New Roman" w:cs="Times New Roman"/>
          <w:sz w:val="16"/>
          <w:szCs w:val="16"/>
        </w:rPr>
        <w:t xml:space="preserve">Β </w:t>
      </w:r>
      <w:r w:rsidRPr="00C80938">
        <w:rPr>
          <w:rFonts w:ascii="Times New Roman" w:hAnsi="Times New Roman" w:cs="Times New Roman"/>
          <w:sz w:val="16"/>
          <w:szCs w:val="16"/>
        </w:rPr>
        <w:t>εξάμηνο του 2021.</w:t>
      </w:r>
    </w:p>
    <w:p w14:paraId="333A935F" w14:textId="0EF30052" w:rsidR="00FA5CFC" w:rsidRDefault="00FA5CFC">
      <w:pPr>
        <w:pStyle w:val="ad"/>
      </w:pPr>
    </w:p>
  </w:footnote>
  <w:footnote w:id="2">
    <w:p w14:paraId="6A5AFDE4" w14:textId="56B8B0F5" w:rsidR="00FA5CFC" w:rsidRDefault="00FA5CFC">
      <w:pPr>
        <w:pStyle w:val="ad"/>
      </w:pPr>
      <w:r>
        <w:rPr>
          <w:rStyle w:val="ae"/>
        </w:rPr>
        <w:footnoteRef/>
      </w:r>
      <w:r>
        <w:t xml:space="preserve"> </w:t>
      </w:r>
      <w:r w:rsidRPr="005D43AB">
        <w:t>Αγγελάκης Α. (2020), «Πανδημία και «ψηφιακό χάσμα»: η τριπλή πρόκληση για τις μικρές επιχειρήσεις στη «μετά Covid-19» εποχή.», Κείμενα Γνώμης ΙΜΕ ΓΣΕΒΕΕ</w:t>
      </w:r>
    </w:p>
  </w:footnote>
  <w:footnote w:id="3">
    <w:p w14:paraId="58193ACC" w14:textId="42DCD580" w:rsidR="00FA5CFC" w:rsidRPr="00BB3E30" w:rsidRDefault="00FA5CFC">
      <w:pPr>
        <w:pStyle w:val="ad"/>
      </w:pPr>
      <w:r>
        <w:rPr>
          <w:rStyle w:val="ae"/>
        </w:rPr>
        <w:footnoteRef/>
      </w:r>
      <w:r>
        <w:t xml:space="preserve">Δελτίο Τύπου ΕΛΣΤΑΤ: </w:t>
      </w:r>
      <w:r w:rsidRPr="00372EFC">
        <w:t>ΔΕΙΚΤΗΣ ΤΙΜΩΝ ΚΑΤΑΝΑΛΩΤΗ: Ιούλιος 2021, ετήσιος πληθωρισμός 1,4%</w:t>
      </w:r>
    </w:p>
  </w:footnote>
  <w:footnote w:id="4">
    <w:p w14:paraId="241B773B" w14:textId="5E1D1CAC" w:rsidR="00FA5CFC" w:rsidRDefault="00FA5CFC">
      <w:pPr>
        <w:pStyle w:val="ad"/>
      </w:pPr>
      <w:r>
        <w:rPr>
          <w:rStyle w:val="ae"/>
        </w:rPr>
        <w:footnoteRef/>
      </w:r>
      <w:r>
        <w:t xml:space="preserve"> Δελτίο Τύπου ΕΛΣΤΑΤ: </w:t>
      </w:r>
      <w:r w:rsidRPr="00FD43D0">
        <w:t>ΔΕΙΚΤΗΣ ΤΙΜΩΝ ΠΑΡΑΓΩΓΟΥ ΣΤΗ ΒΙΟΜΗΧΑΝΙΑ: Ιούλιος 2021, ετήσια αύξηση 13,0%</w:t>
      </w:r>
    </w:p>
  </w:footnote>
  <w:footnote w:id="5">
    <w:p w14:paraId="78B8AFDF" w14:textId="248DB62A" w:rsidR="00FA5CFC" w:rsidRDefault="00FA5CFC">
      <w:pPr>
        <w:pStyle w:val="ad"/>
      </w:pPr>
      <w:r>
        <w:rPr>
          <w:rStyle w:val="ae"/>
        </w:rPr>
        <w:footnoteRef/>
      </w:r>
      <w:r>
        <w:t xml:space="preserve">Δελτίο Τύπου ΕΛΣΤΑΤ:  </w:t>
      </w:r>
      <w:r w:rsidRPr="00FD43D0">
        <w:t>ΔΕΙΚΤΗΣ ΤΙΜΩΝ ΕΙΣΑΓΩΓΩΝ ΣΤΗ ΒΙΟΜΗΧΑΝΙΑ: Ιούνιος 2021, ετήσια αύξηση 20,5%</w:t>
      </w:r>
    </w:p>
  </w:footnote>
  <w:footnote w:id="6">
    <w:p w14:paraId="24FF7CAA" w14:textId="33A681C7" w:rsidR="00FA5CFC" w:rsidRDefault="00FA5CFC">
      <w:pPr>
        <w:pStyle w:val="ad"/>
      </w:pPr>
      <w:r>
        <w:rPr>
          <w:rStyle w:val="ae"/>
        </w:rPr>
        <w:footnoteRef/>
      </w:r>
      <w:r>
        <w:t xml:space="preserve"> Έρευνα ΙΜΕ ΓΣΕΒΕΕ: </w:t>
      </w:r>
      <w:r w:rsidRPr="00B31444">
        <w:t>Εξαμηνιαία αποτύπωση οικονομικού κλίματος στις μικρές επιχειρήσεις - Φεβρουάριος 2021</w:t>
      </w:r>
    </w:p>
  </w:footnote>
  <w:footnote w:id="7">
    <w:p w14:paraId="5EED4C71" w14:textId="54DC1728" w:rsidR="00FA5CFC" w:rsidRDefault="00FA5CFC">
      <w:pPr>
        <w:pStyle w:val="ad"/>
      </w:pPr>
      <w:r w:rsidRPr="008D6CAD">
        <w:rPr>
          <w:rStyle w:val="ae"/>
        </w:rPr>
        <w:footnoteRef/>
      </w:r>
      <w:r w:rsidRPr="008D6CAD">
        <w:t xml:space="preserve"> </w:t>
      </w:r>
      <w:r>
        <w:t>Δελτίο Τύπου ΕΛΣΤΑΤ:</w:t>
      </w:r>
      <w:r w:rsidRPr="008D6CAD">
        <w:t xml:space="preserve"> </w:t>
      </w:r>
      <w:r w:rsidRPr="00EA56EC">
        <w:t>ΕΡΕΥΝΑ ΕΡΓΑΤΙΚΟΥ ΔΥΝΑΜΙΚΟΥ: Ιούνιος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9771" w14:textId="77777777" w:rsidR="00FA5CFC" w:rsidRDefault="00FA5CFC">
    <w:pPr>
      <w:pStyle w:val="a7"/>
    </w:pPr>
    <w:r>
      <w:rPr>
        <w:noProof/>
        <w:lang w:val="en-US"/>
      </w:rPr>
      <w:drawing>
        <wp:inline distT="0" distB="0" distL="0" distR="0" wp14:anchorId="555D6B99" wp14:editId="7BF5B88D">
          <wp:extent cx="1579155" cy="594360"/>
          <wp:effectExtent l="0" t="0" r="2540" b="0"/>
          <wp:docPr id="18" name="Εικόνα 10" descr="C:\Users\Thanopoulos\AppData\Local\Microsoft\Windows\INetCache\Content.Outlook\B5LN3GZV\ιμε μπορντώ.jpg"/>
          <wp:cNvGraphicFramePr/>
          <a:graphic xmlns:a="http://schemas.openxmlformats.org/drawingml/2006/main">
            <a:graphicData uri="http://schemas.openxmlformats.org/drawingml/2006/picture">
              <pic:pic xmlns:pic="http://schemas.openxmlformats.org/drawingml/2006/picture">
                <pic:nvPicPr>
                  <pic:cNvPr id="11" name="Εικόνα 10" descr="C:\Users\Thanopoulos\AppData\Local\Microsoft\Windows\INetCache\Content.Outlook\B5LN3GZV\ιμε μπορντώ.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176" cy="59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19D"/>
    <w:multiLevelType w:val="hybridMultilevel"/>
    <w:tmpl w:val="94085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B844AF"/>
    <w:multiLevelType w:val="hybridMultilevel"/>
    <w:tmpl w:val="F0F692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9AC18E4"/>
    <w:multiLevelType w:val="hybridMultilevel"/>
    <w:tmpl w:val="80C21C6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00402E8"/>
    <w:multiLevelType w:val="hybridMultilevel"/>
    <w:tmpl w:val="6B1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138B"/>
    <w:multiLevelType w:val="hybridMultilevel"/>
    <w:tmpl w:val="5ECE7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CD416F"/>
    <w:multiLevelType w:val="hybridMultilevel"/>
    <w:tmpl w:val="E7C8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A342E"/>
    <w:multiLevelType w:val="hybridMultilevel"/>
    <w:tmpl w:val="1D582A38"/>
    <w:lvl w:ilvl="0" w:tplc="388492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3D4D"/>
    <w:multiLevelType w:val="hybridMultilevel"/>
    <w:tmpl w:val="F71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12548"/>
    <w:multiLevelType w:val="hybridMultilevel"/>
    <w:tmpl w:val="1C3C9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9A1735"/>
    <w:multiLevelType w:val="hybridMultilevel"/>
    <w:tmpl w:val="E4F87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6037C2D"/>
    <w:multiLevelType w:val="hybridMultilevel"/>
    <w:tmpl w:val="CBE480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628757E"/>
    <w:multiLevelType w:val="hybridMultilevel"/>
    <w:tmpl w:val="8DCEC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C7364CF"/>
    <w:multiLevelType w:val="hybridMultilevel"/>
    <w:tmpl w:val="7586FE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7A016E"/>
    <w:multiLevelType w:val="hybridMultilevel"/>
    <w:tmpl w:val="716CCEA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666B7354"/>
    <w:multiLevelType w:val="hybridMultilevel"/>
    <w:tmpl w:val="7A1A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C7634"/>
    <w:multiLevelType w:val="hybridMultilevel"/>
    <w:tmpl w:val="DF369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3F142F"/>
    <w:multiLevelType w:val="hybridMultilevel"/>
    <w:tmpl w:val="5B3E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35DD8"/>
    <w:multiLevelType w:val="hybridMultilevel"/>
    <w:tmpl w:val="610A5682"/>
    <w:lvl w:ilvl="0" w:tplc="0CD257A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F416DD4"/>
    <w:multiLevelType w:val="hybridMultilevel"/>
    <w:tmpl w:val="51467BBC"/>
    <w:lvl w:ilvl="0" w:tplc="04080001">
      <w:start w:val="1"/>
      <w:numFmt w:val="bullet"/>
      <w:lvlText w:val=""/>
      <w:lvlJc w:val="left"/>
      <w:pPr>
        <w:ind w:left="363" w:hanging="360"/>
      </w:pPr>
      <w:rPr>
        <w:rFonts w:ascii="Symbol" w:hAnsi="Symbol" w:hint="default"/>
      </w:rPr>
    </w:lvl>
    <w:lvl w:ilvl="1" w:tplc="04080003">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19" w15:restartNumberingAfterBreak="0">
    <w:nsid w:val="7117595A"/>
    <w:multiLevelType w:val="hybridMultilevel"/>
    <w:tmpl w:val="3EFCBA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2377A65"/>
    <w:multiLevelType w:val="hybridMultilevel"/>
    <w:tmpl w:val="EAC6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A6A3C"/>
    <w:multiLevelType w:val="hybridMultilevel"/>
    <w:tmpl w:val="AC1AE4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7B610A54"/>
    <w:multiLevelType w:val="hybridMultilevel"/>
    <w:tmpl w:val="C1BAAE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D8C24FD"/>
    <w:multiLevelType w:val="hybridMultilevel"/>
    <w:tmpl w:val="0464E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0"/>
  </w:num>
  <w:num w:numId="5">
    <w:abstractNumId w:val="4"/>
  </w:num>
  <w:num w:numId="6">
    <w:abstractNumId w:val="17"/>
  </w:num>
  <w:num w:numId="7">
    <w:abstractNumId w:val="11"/>
  </w:num>
  <w:num w:numId="8">
    <w:abstractNumId w:val="18"/>
  </w:num>
  <w:num w:numId="9">
    <w:abstractNumId w:val="23"/>
  </w:num>
  <w:num w:numId="10">
    <w:abstractNumId w:val="16"/>
  </w:num>
  <w:num w:numId="11">
    <w:abstractNumId w:val="9"/>
  </w:num>
  <w:num w:numId="12">
    <w:abstractNumId w:val="14"/>
  </w:num>
  <w:num w:numId="13">
    <w:abstractNumId w:val="8"/>
  </w:num>
  <w:num w:numId="14">
    <w:abstractNumId w:val="7"/>
  </w:num>
  <w:num w:numId="15">
    <w:abstractNumId w:val="5"/>
  </w:num>
  <w:num w:numId="16">
    <w:abstractNumId w:val="21"/>
  </w:num>
  <w:num w:numId="17">
    <w:abstractNumId w:val="6"/>
  </w:num>
  <w:num w:numId="18">
    <w:abstractNumId w:val="3"/>
  </w:num>
  <w:num w:numId="19">
    <w:abstractNumId w:val="15"/>
  </w:num>
  <w:num w:numId="20">
    <w:abstractNumId w:val="20"/>
  </w:num>
  <w:num w:numId="21">
    <w:abstractNumId w:val="2"/>
  </w:num>
  <w:num w:numId="22">
    <w:abstractNumId w:val="19"/>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57F"/>
    <w:rsid w:val="00002179"/>
    <w:rsid w:val="00004B00"/>
    <w:rsid w:val="00004C66"/>
    <w:rsid w:val="00014CFE"/>
    <w:rsid w:val="000163DF"/>
    <w:rsid w:val="00032562"/>
    <w:rsid w:val="00033B5E"/>
    <w:rsid w:val="00035701"/>
    <w:rsid w:val="000428DB"/>
    <w:rsid w:val="00045567"/>
    <w:rsid w:val="00057B4C"/>
    <w:rsid w:val="00057D66"/>
    <w:rsid w:val="00060F92"/>
    <w:rsid w:val="0007054F"/>
    <w:rsid w:val="00077044"/>
    <w:rsid w:val="000815D3"/>
    <w:rsid w:val="000948E7"/>
    <w:rsid w:val="00094C0D"/>
    <w:rsid w:val="0009752A"/>
    <w:rsid w:val="000A0DC2"/>
    <w:rsid w:val="000A1D64"/>
    <w:rsid w:val="000A34B1"/>
    <w:rsid w:val="000B20F5"/>
    <w:rsid w:val="000B2D69"/>
    <w:rsid w:val="000C0FBE"/>
    <w:rsid w:val="000D303E"/>
    <w:rsid w:val="000D37CB"/>
    <w:rsid w:val="000E14C2"/>
    <w:rsid w:val="000E17C8"/>
    <w:rsid w:val="000E395F"/>
    <w:rsid w:val="000E4A7F"/>
    <w:rsid w:val="000E5AE6"/>
    <w:rsid w:val="000F28A1"/>
    <w:rsid w:val="000F4F54"/>
    <w:rsid w:val="00110898"/>
    <w:rsid w:val="00117974"/>
    <w:rsid w:val="00121769"/>
    <w:rsid w:val="0012741B"/>
    <w:rsid w:val="0013000A"/>
    <w:rsid w:val="00130250"/>
    <w:rsid w:val="00141F8B"/>
    <w:rsid w:val="00143079"/>
    <w:rsid w:val="001465D5"/>
    <w:rsid w:val="00152DAE"/>
    <w:rsid w:val="001538D2"/>
    <w:rsid w:val="00153C6C"/>
    <w:rsid w:val="00170F96"/>
    <w:rsid w:val="0017211B"/>
    <w:rsid w:val="001765DA"/>
    <w:rsid w:val="00177857"/>
    <w:rsid w:val="00181409"/>
    <w:rsid w:val="00181EAC"/>
    <w:rsid w:val="001826C9"/>
    <w:rsid w:val="001959F3"/>
    <w:rsid w:val="001A3BF2"/>
    <w:rsid w:val="001A4A72"/>
    <w:rsid w:val="001A7AB7"/>
    <w:rsid w:val="001B2EF9"/>
    <w:rsid w:val="001B519D"/>
    <w:rsid w:val="001C560E"/>
    <w:rsid w:val="001C669A"/>
    <w:rsid w:val="001D0622"/>
    <w:rsid w:val="001D2F4E"/>
    <w:rsid w:val="001E14E7"/>
    <w:rsid w:val="001E3135"/>
    <w:rsid w:val="001E56CB"/>
    <w:rsid w:val="001E72BC"/>
    <w:rsid w:val="001F3396"/>
    <w:rsid w:val="001F7AC4"/>
    <w:rsid w:val="0020009D"/>
    <w:rsid w:val="00204FC2"/>
    <w:rsid w:val="002062FA"/>
    <w:rsid w:val="00207047"/>
    <w:rsid w:val="002103D0"/>
    <w:rsid w:val="00210E6D"/>
    <w:rsid w:val="0021116B"/>
    <w:rsid w:val="0021543B"/>
    <w:rsid w:val="002157CB"/>
    <w:rsid w:val="00215BF7"/>
    <w:rsid w:val="0021650B"/>
    <w:rsid w:val="002212CB"/>
    <w:rsid w:val="00223FF0"/>
    <w:rsid w:val="002308D0"/>
    <w:rsid w:val="00235704"/>
    <w:rsid w:val="0024078D"/>
    <w:rsid w:val="00240EB3"/>
    <w:rsid w:val="00243187"/>
    <w:rsid w:val="0024372F"/>
    <w:rsid w:val="002452C5"/>
    <w:rsid w:val="00246A7F"/>
    <w:rsid w:val="00246CED"/>
    <w:rsid w:val="00251B57"/>
    <w:rsid w:val="00256AE0"/>
    <w:rsid w:val="002603E7"/>
    <w:rsid w:val="0026178A"/>
    <w:rsid w:val="0026638B"/>
    <w:rsid w:val="00266948"/>
    <w:rsid w:val="00270290"/>
    <w:rsid w:val="00271C23"/>
    <w:rsid w:val="00274A97"/>
    <w:rsid w:val="002827F0"/>
    <w:rsid w:val="002859EE"/>
    <w:rsid w:val="00293299"/>
    <w:rsid w:val="0029472A"/>
    <w:rsid w:val="00295BAA"/>
    <w:rsid w:val="002A2333"/>
    <w:rsid w:val="002A4EF2"/>
    <w:rsid w:val="002B00B6"/>
    <w:rsid w:val="002B0267"/>
    <w:rsid w:val="002B10B7"/>
    <w:rsid w:val="002C2B31"/>
    <w:rsid w:val="002D19D7"/>
    <w:rsid w:val="002D33B1"/>
    <w:rsid w:val="002D603B"/>
    <w:rsid w:val="002E1ED4"/>
    <w:rsid w:val="002E3138"/>
    <w:rsid w:val="002E3B0D"/>
    <w:rsid w:val="002F07FA"/>
    <w:rsid w:val="00302A44"/>
    <w:rsid w:val="00307299"/>
    <w:rsid w:val="00307DCA"/>
    <w:rsid w:val="00314F06"/>
    <w:rsid w:val="00323E8F"/>
    <w:rsid w:val="00326135"/>
    <w:rsid w:val="00326412"/>
    <w:rsid w:val="00344F20"/>
    <w:rsid w:val="00352F49"/>
    <w:rsid w:val="0035471D"/>
    <w:rsid w:val="0035692C"/>
    <w:rsid w:val="00364B8A"/>
    <w:rsid w:val="003665D8"/>
    <w:rsid w:val="003726B2"/>
    <w:rsid w:val="00372A24"/>
    <w:rsid w:val="00372EFC"/>
    <w:rsid w:val="00374CCF"/>
    <w:rsid w:val="0037683D"/>
    <w:rsid w:val="0038050E"/>
    <w:rsid w:val="00381DA0"/>
    <w:rsid w:val="003849FE"/>
    <w:rsid w:val="00392F68"/>
    <w:rsid w:val="00396DF7"/>
    <w:rsid w:val="00396EBA"/>
    <w:rsid w:val="0039700E"/>
    <w:rsid w:val="003A31D9"/>
    <w:rsid w:val="003A645B"/>
    <w:rsid w:val="003B08A9"/>
    <w:rsid w:val="003B2986"/>
    <w:rsid w:val="003B33FE"/>
    <w:rsid w:val="003B4F9C"/>
    <w:rsid w:val="003C733C"/>
    <w:rsid w:val="003E70BF"/>
    <w:rsid w:val="003F18A9"/>
    <w:rsid w:val="003F27C8"/>
    <w:rsid w:val="003F27D9"/>
    <w:rsid w:val="00400FF8"/>
    <w:rsid w:val="0040254E"/>
    <w:rsid w:val="00411D45"/>
    <w:rsid w:val="00416A27"/>
    <w:rsid w:val="00425E4A"/>
    <w:rsid w:val="00436AF7"/>
    <w:rsid w:val="00440412"/>
    <w:rsid w:val="00445572"/>
    <w:rsid w:val="004568FB"/>
    <w:rsid w:val="00457CC7"/>
    <w:rsid w:val="00460AC4"/>
    <w:rsid w:val="004622B0"/>
    <w:rsid w:val="0047336F"/>
    <w:rsid w:val="004743E2"/>
    <w:rsid w:val="00483ED8"/>
    <w:rsid w:val="00485B12"/>
    <w:rsid w:val="00487FB4"/>
    <w:rsid w:val="00492D38"/>
    <w:rsid w:val="00495E12"/>
    <w:rsid w:val="004A1D99"/>
    <w:rsid w:val="004A2C6A"/>
    <w:rsid w:val="004B70B9"/>
    <w:rsid w:val="004B7C0A"/>
    <w:rsid w:val="004C0E5E"/>
    <w:rsid w:val="004D3693"/>
    <w:rsid w:val="004D5A98"/>
    <w:rsid w:val="004E5E60"/>
    <w:rsid w:val="004F167D"/>
    <w:rsid w:val="004F30FE"/>
    <w:rsid w:val="004F497A"/>
    <w:rsid w:val="0050151C"/>
    <w:rsid w:val="00505A10"/>
    <w:rsid w:val="00511E73"/>
    <w:rsid w:val="00514FFC"/>
    <w:rsid w:val="00515020"/>
    <w:rsid w:val="00515537"/>
    <w:rsid w:val="00522F59"/>
    <w:rsid w:val="00525F15"/>
    <w:rsid w:val="00530A0F"/>
    <w:rsid w:val="0053342E"/>
    <w:rsid w:val="00533A92"/>
    <w:rsid w:val="00536468"/>
    <w:rsid w:val="00536E72"/>
    <w:rsid w:val="00547F34"/>
    <w:rsid w:val="00571655"/>
    <w:rsid w:val="00577A33"/>
    <w:rsid w:val="00590F14"/>
    <w:rsid w:val="005A5E9C"/>
    <w:rsid w:val="005B0CFF"/>
    <w:rsid w:val="005C06B9"/>
    <w:rsid w:val="005C0F84"/>
    <w:rsid w:val="005C627F"/>
    <w:rsid w:val="005C74C7"/>
    <w:rsid w:val="005D2068"/>
    <w:rsid w:val="005D4115"/>
    <w:rsid w:val="005D43AB"/>
    <w:rsid w:val="005E0770"/>
    <w:rsid w:val="005E3167"/>
    <w:rsid w:val="005E3EAF"/>
    <w:rsid w:val="005E3FEC"/>
    <w:rsid w:val="005E486E"/>
    <w:rsid w:val="005E5285"/>
    <w:rsid w:val="005F25BB"/>
    <w:rsid w:val="005F6010"/>
    <w:rsid w:val="006118B5"/>
    <w:rsid w:val="006207BC"/>
    <w:rsid w:val="00622BE4"/>
    <w:rsid w:val="00625028"/>
    <w:rsid w:val="00650B17"/>
    <w:rsid w:val="00650C60"/>
    <w:rsid w:val="00655A77"/>
    <w:rsid w:val="00670802"/>
    <w:rsid w:val="006733D8"/>
    <w:rsid w:val="00675005"/>
    <w:rsid w:val="00685193"/>
    <w:rsid w:val="006868E2"/>
    <w:rsid w:val="0069456F"/>
    <w:rsid w:val="00694711"/>
    <w:rsid w:val="00696AF7"/>
    <w:rsid w:val="00697011"/>
    <w:rsid w:val="006A1075"/>
    <w:rsid w:val="006A1B36"/>
    <w:rsid w:val="006A290C"/>
    <w:rsid w:val="006B67CA"/>
    <w:rsid w:val="006C1482"/>
    <w:rsid w:val="006C3DAB"/>
    <w:rsid w:val="006D0D98"/>
    <w:rsid w:val="006D7F35"/>
    <w:rsid w:val="006E2749"/>
    <w:rsid w:val="006E782F"/>
    <w:rsid w:val="006E7CAE"/>
    <w:rsid w:val="006F0247"/>
    <w:rsid w:val="006F620F"/>
    <w:rsid w:val="007029BA"/>
    <w:rsid w:val="007029D5"/>
    <w:rsid w:val="00702E6E"/>
    <w:rsid w:val="0070621A"/>
    <w:rsid w:val="00710DBA"/>
    <w:rsid w:val="00723F4A"/>
    <w:rsid w:val="007252E8"/>
    <w:rsid w:val="007264A1"/>
    <w:rsid w:val="00726A9A"/>
    <w:rsid w:val="00730A63"/>
    <w:rsid w:val="00734867"/>
    <w:rsid w:val="00750E32"/>
    <w:rsid w:val="00752037"/>
    <w:rsid w:val="00756068"/>
    <w:rsid w:val="007568CA"/>
    <w:rsid w:val="00761263"/>
    <w:rsid w:val="007720A9"/>
    <w:rsid w:val="00783670"/>
    <w:rsid w:val="00785AB0"/>
    <w:rsid w:val="00791344"/>
    <w:rsid w:val="00796D5B"/>
    <w:rsid w:val="007A055D"/>
    <w:rsid w:val="007A224C"/>
    <w:rsid w:val="007A612D"/>
    <w:rsid w:val="007D72D6"/>
    <w:rsid w:val="007E56A7"/>
    <w:rsid w:val="007E59BF"/>
    <w:rsid w:val="007E7430"/>
    <w:rsid w:val="007F41AD"/>
    <w:rsid w:val="008159B8"/>
    <w:rsid w:val="0082015F"/>
    <w:rsid w:val="00820ED0"/>
    <w:rsid w:val="00821B05"/>
    <w:rsid w:val="008345E1"/>
    <w:rsid w:val="008345E5"/>
    <w:rsid w:val="008452A1"/>
    <w:rsid w:val="00850C0A"/>
    <w:rsid w:val="00851D68"/>
    <w:rsid w:val="00854D7F"/>
    <w:rsid w:val="00855AED"/>
    <w:rsid w:val="0085646C"/>
    <w:rsid w:val="00856E24"/>
    <w:rsid w:val="0086101E"/>
    <w:rsid w:val="008623E3"/>
    <w:rsid w:val="008662A5"/>
    <w:rsid w:val="00867E7F"/>
    <w:rsid w:val="00874903"/>
    <w:rsid w:val="00876EEE"/>
    <w:rsid w:val="00884AC9"/>
    <w:rsid w:val="00885F58"/>
    <w:rsid w:val="00890C00"/>
    <w:rsid w:val="00896E1C"/>
    <w:rsid w:val="008A266B"/>
    <w:rsid w:val="008A541F"/>
    <w:rsid w:val="008A5E66"/>
    <w:rsid w:val="008A710D"/>
    <w:rsid w:val="008B0F30"/>
    <w:rsid w:val="008B11AB"/>
    <w:rsid w:val="008B6EB3"/>
    <w:rsid w:val="008C7281"/>
    <w:rsid w:val="008C7B1B"/>
    <w:rsid w:val="008C7FF0"/>
    <w:rsid w:val="008D6CAD"/>
    <w:rsid w:val="008D6D7E"/>
    <w:rsid w:val="008E3E65"/>
    <w:rsid w:val="008F4BD9"/>
    <w:rsid w:val="009048DD"/>
    <w:rsid w:val="00906C6F"/>
    <w:rsid w:val="00910C1B"/>
    <w:rsid w:val="00911788"/>
    <w:rsid w:val="0091560F"/>
    <w:rsid w:val="00923D8D"/>
    <w:rsid w:val="009244EA"/>
    <w:rsid w:val="00941604"/>
    <w:rsid w:val="00942D93"/>
    <w:rsid w:val="0094360A"/>
    <w:rsid w:val="0094509D"/>
    <w:rsid w:val="00947F85"/>
    <w:rsid w:val="00952337"/>
    <w:rsid w:val="0096518A"/>
    <w:rsid w:val="0096750F"/>
    <w:rsid w:val="00971CF2"/>
    <w:rsid w:val="00982B33"/>
    <w:rsid w:val="00985484"/>
    <w:rsid w:val="00985D49"/>
    <w:rsid w:val="00990E5F"/>
    <w:rsid w:val="009916D3"/>
    <w:rsid w:val="00991A74"/>
    <w:rsid w:val="00993DDC"/>
    <w:rsid w:val="00996AAB"/>
    <w:rsid w:val="009A0452"/>
    <w:rsid w:val="009A4233"/>
    <w:rsid w:val="009A50FC"/>
    <w:rsid w:val="009A65CF"/>
    <w:rsid w:val="009B237C"/>
    <w:rsid w:val="009B4B42"/>
    <w:rsid w:val="009B63CF"/>
    <w:rsid w:val="009C751E"/>
    <w:rsid w:val="009D0035"/>
    <w:rsid w:val="009D74E4"/>
    <w:rsid w:val="009E0C9D"/>
    <w:rsid w:val="009F3A39"/>
    <w:rsid w:val="009F4662"/>
    <w:rsid w:val="009F5ACE"/>
    <w:rsid w:val="009F6718"/>
    <w:rsid w:val="00A108EE"/>
    <w:rsid w:val="00A1401D"/>
    <w:rsid w:val="00A15E43"/>
    <w:rsid w:val="00A16875"/>
    <w:rsid w:val="00A22547"/>
    <w:rsid w:val="00A23BA0"/>
    <w:rsid w:val="00A3079C"/>
    <w:rsid w:val="00A319CA"/>
    <w:rsid w:val="00A3568A"/>
    <w:rsid w:val="00A417BC"/>
    <w:rsid w:val="00A41A74"/>
    <w:rsid w:val="00A500D0"/>
    <w:rsid w:val="00A62CBE"/>
    <w:rsid w:val="00A62E74"/>
    <w:rsid w:val="00A71250"/>
    <w:rsid w:val="00A75172"/>
    <w:rsid w:val="00A77A8A"/>
    <w:rsid w:val="00A856DF"/>
    <w:rsid w:val="00A9032A"/>
    <w:rsid w:val="00A9257F"/>
    <w:rsid w:val="00A92A25"/>
    <w:rsid w:val="00A9799A"/>
    <w:rsid w:val="00AA2C38"/>
    <w:rsid w:val="00AB1C80"/>
    <w:rsid w:val="00AC066D"/>
    <w:rsid w:val="00AC367B"/>
    <w:rsid w:val="00AC42DE"/>
    <w:rsid w:val="00AE2572"/>
    <w:rsid w:val="00AE324A"/>
    <w:rsid w:val="00AF06F5"/>
    <w:rsid w:val="00AF1E03"/>
    <w:rsid w:val="00B05A9B"/>
    <w:rsid w:val="00B12ACB"/>
    <w:rsid w:val="00B158EC"/>
    <w:rsid w:val="00B31444"/>
    <w:rsid w:val="00B34346"/>
    <w:rsid w:val="00B35AC3"/>
    <w:rsid w:val="00B36F41"/>
    <w:rsid w:val="00B466E4"/>
    <w:rsid w:val="00B46D0E"/>
    <w:rsid w:val="00B62495"/>
    <w:rsid w:val="00B63BE3"/>
    <w:rsid w:val="00B775D9"/>
    <w:rsid w:val="00B77B52"/>
    <w:rsid w:val="00B800A3"/>
    <w:rsid w:val="00B8111F"/>
    <w:rsid w:val="00B813DA"/>
    <w:rsid w:val="00B841AC"/>
    <w:rsid w:val="00B84D9C"/>
    <w:rsid w:val="00B90718"/>
    <w:rsid w:val="00B925F2"/>
    <w:rsid w:val="00BA1D4B"/>
    <w:rsid w:val="00BA2556"/>
    <w:rsid w:val="00BA57E9"/>
    <w:rsid w:val="00BB3E30"/>
    <w:rsid w:val="00BB668D"/>
    <w:rsid w:val="00BB750E"/>
    <w:rsid w:val="00BC157E"/>
    <w:rsid w:val="00BC259B"/>
    <w:rsid w:val="00BC68A9"/>
    <w:rsid w:val="00BD2DCD"/>
    <w:rsid w:val="00BD43D6"/>
    <w:rsid w:val="00BE078D"/>
    <w:rsid w:val="00BE33E5"/>
    <w:rsid w:val="00BE7C9E"/>
    <w:rsid w:val="00BF13F5"/>
    <w:rsid w:val="00BF51FE"/>
    <w:rsid w:val="00BF5B83"/>
    <w:rsid w:val="00C01329"/>
    <w:rsid w:val="00C05413"/>
    <w:rsid w:val="00C06B19"/>
    <w:rsid w:val="00C07136"/>
    <w:rsid w:val="00C155D3"/>
    <w:rsid w:val="00C2118E"/>
    <w:rsid w:val="00C25F11"/>
    <w:rsid w:val="00C378B7"/>
    <w:rsid w:val="00C5055C"/>
    <w:rsid w:val="00C55E51"/>
    <w:rsid w:val="00C639A2"/>
    <w:rsid w:val="00C64146"/>
    <w:rsid w:val="00C703E3"/>
    <w:rsid w:val="00C80938"/>
    <w:rsid w:val="00C83512"/>
    <w:rsid w:val="00C83EDA"/>
    <w:rsid w:val="00C91692"/>
    <w:rsid w:val="00C92416"/>
    <w:rsid w:val="00C9318F"/>
    <w:rsid w:val="00CA2DDC"/>
    <w:rsid w:val="00CA3703"/>
    <w:rsid w:val="00CB6783"/>
    <w:rsid w:val="00CB760D"/>
    <w:rsid w:val="00CB769F"/>
    <w:rsid w:val="00CB7FC5"/>
    <w:rsid w:val="00CC052A"/>
    <w:rsid w:val="00CC2D53"/>
    <w:rsid w:val="00CC546C"/>
    <w:rsid w:val="00CD1405"/>
    <w:rsid w:val="00CD24ED"/>
    <w:rsid w:val="00CE6161"/>
    <w:rsid w:val="00CE72DA"/>
    <w:rsid w:val="00CF0038"/>
    <w:rsid w:val="00CF21E4"/>
    <w:rsid w:val="00D00475"/>
    <w:rsid w:val="00D12E24"/>
    <w:rsid w:val="00D17649"/>
    <w:rsid w:val="00D25A9C"/>
    <w:rsid w:val="00D42B3B"/>
    <w:rsid w:val="00D449BA"/>
    <w:rsid w:val="00D707D5"/>
    <w:rsid w:val="00D70D6C"/>
    <w:rsid w:val="00D83183"/>
    <w:rsid w:val="00D84169"/>
    <w:rsid w:val="00D908C6"/>
    <w:rsid w:val="00D95643"/>
    <w:rsid w:val="00D96200"/>
    <w:rsid w:val="00DA5D46"/>
    <w:rsid w:val="00DB3437"/>
    <w:rsid w:val="00DB4061"/>
    <w:rsid w:val="00DB4D1C"/>
    <w:rsid w:val="00DC008D"/>
    <w:rsid w:val="00DC1A1E"/>
    <w:rsid w:val="00DC2BC0"/>
    <w:rsid w:val="00DC5346"/>
    <w:rsid w:val="00DD0C84"/>
    <w:rsid w:val="00DD23C0"/>
    <w:rsid w:val="00DD2E71"/>
    <w:rsid w:val="00DD7C9C"/>
    <w:rsid w:val="00DF10BC"/>
    <w:rsid w:val="00DF16FB"/>
    <w:rsid w:val="00DF2079"/>
    <w:rsid w:val="00DF2253"/>
    <w:rsid w:val="00DF32C4"/>
    <w:rsid w:val="00E010B0"/>
    <w:rsid w:val="00E037EC"/>
    <w:rsid w:val="00E11940"/>
    <w:rsid w:val="00E12C00"/>
    <w:rsid w:val="00E170CB"/>
    <w:rsid w:val="00E207F2"/>
    <w:rsid w:val="00E21419"/>
    <w:rsid w:val="00E22D6F"/>
    <w:rsid w:val="00E231E3"/>
    <w:rsid w:val="00E31104"/>
    <w:rsid w:val="00E36734"/>
    <w:rsid w:val="00E4146C"/>
    <w:rsid w:val="00E445BB"/>
    <w:rsid w:val="00E44B9A"/>
    <w:rsid w:val="00E47175"/>
    <w:rsid w:val="00E55E93"/>
    <w:rsid w:val="00E567EA"/>
    <w:rsid w:val="00E57833"/>
    <w:rsid w:val="00E61F2C"/>
    <w:rsid w:val="00E70DCE"/>
    <w:rsid w:val="00E76531"/>
    <w:rsid w:val="00EA44D4"/>
    <w:rsid w:val="00EA5454"/>
    <w:rsid w:val="00EA56EC"/>
    <w:rsid w:val="00EA66B6"/>
    <w:rsid w:val="00EB026B"/>
    <w:rsid w:val="00EB30CC"/>
    <w:rsid w:val="00EC0CC1"/>
    <w:rsid w:val="00EC5191"/>
    <w:rsid w:val="00EC5A22"/>
    <w:rsid w:val="00ED02ED"/>
    <w:rsid w:val="00ED2A9D"/>
    <w:rsid w:val="00ED4604"/>
    <w:rsid w:val="00ED5B31"/>
    <w:rsid w:val="00EE29C6"/>
    <w:rsid w:val="00EE2B7E"/>
    <w:rsid w:val="00EE38EB"/>
    <w:rsid w:val="00EE4A42"/>
    <w:rsid w:val="00EE72E7"/>
    <w:rsid w:val="00EF5A45"/>
    <w:rsid w:val="00F113F1"/>
    <w:rsid w:val="00F11BAF"/>
    <w:rsid w:val="00F174AA"/>
    <w:rsid w:val="00F21DF6"/>
    <w:rsid w:val="00F2310B"/>
    <w:rsid w:val="00F237EA"/>
    <w:rsid w:val="00F23E92"/>
    <w:rsid w:val="00F27411"/>
    <w:rsid w:val="00F27C0E"/>
    <w:rsid w:val="00F37328"/>
    <w:rsid w:val="00F379B8"/>
    <w:rsid w:val="00F45994"/>
    <w:rsid w:val="00F50999"/>
    <w:rsid w:val="00F510CC"/>
    <w:rsid w:val="00F65969"/>
    <w:rsid w:val="00F67482"/>
    <w:rsid w:val="00F733E9"/>
    <w:rsid w:val="00F76EE1"/>
    <w:rsid w:val="00F82CFE"/>
    <w:rsid w:val="00F87B2B"/>
    <w:rsid w:val="00F90F82"/>
    <w:rsid w:val="00F9223A"/>
    <w:rsid w:val="00FA0C0E"/>
    <w:rsid w:val="00FA1482"/>
    <w:rsid w:val="00FA1CB8"/>
    <w:rsid w:val="00FA4FBE"/>
    <w:rsid w:val="00FA5CFC"/>
    <w:rsid w:val="00FA6F05"/>
    <w:rsid w:val="00FB0812"/>
    <w:rsid w:val="00FB0EAF"/>
    <w:rsid w:val="00FB4180"/>
    <w:rsid w:val="00FB66EB"/>
    <w:rsid w:val="00FC3D57"/>
    <w:rsid w:val="00FD16A4"/>
    <w:rsid w:val="00FD35B6"/>
    <w:rsid w:val="00FD43D0"/>
    <w:rsid w:val="00FD445D"/>
    <w:rsid w:val="00FD6265"/>
    <w:rsid w:val="00FE0680"/>
    <w:rsid w:val="00FE6286"/>
    <w:rsid w:val="00FF742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7DEDB"/>
  <w15:docId w15:val="{8A29A2E3-7E65-4604-BF5E-50718D99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57F"/>
  </w:style>
  <w:style w:type="paragraph" w:styleId="1">
    <w:name w:val="heading 1"/>
    <w:basedOn w:val="a"/>
    <w:next w:val="a"/>
    <w:link w:val="1Char"/>
    <w:uiPriority w:val="9"/>
    <w:qFormat/>
    <w:rsid w:val="00DA5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DA5D46"/>
    <w:pPr>
      <w:keepNext/>
      <w:keepLines/>
      <w:spacing w:before="200" w:after="0" w:line="360" w:lineRule="auto"/>
      <w:jc w:val="both"/>
      <w:outlineLvl w:val="1"/>
    </w:pPr>
    <w:rPr>
      <w:rFonts w:ascii="Cambria" w:eastAsia="Times New Roman" w:hAnsi="Cambria" w:cs="Times New Roman"/>
      <w:b/>
      <w:bCs/>
      <w:i/>
      <w:iCs/>
      <w:sz w:val="28"/>
      <w:szCs w:val="28"/>
      <w:lang w:val="en-GB"/>
    </w:rPr>
  </w:style>
  <w:style w:type="paragraph" w:styleId="3">
    <w:name w:val="heading 3"/>
    <w:basedOn w:val="a"/>
    <w:next w:val="a"/>
    <w:link w:val="3Char"/>
    <w:uiPriority w:val="9"/>
    <w:semiHidden/>
    <w:unhideWhenUsed/>
    <w:qFormat/>
    <w:rsid w:val="00DA5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D4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DA5D46"/>
    <w:rPr>
      <w:rFonts w:ascii="Cambria" w:eastAsia="Times New Roman" w:hAnsi="Cambria" w:cs="Times New Roman"/>
      <w:b/>
      <w:bCs/>
      <w:i/>
      <w:iCs/>
      <w:sz w:val="28"/>
      <w:szCs w:val="28"/>
      <w:lang w:val="en-GB"/>
    </w:rPr>
  </w:style>
  <w:style w:type="character" w:customStyle="1" w:styleId="3Char">
    <w:name w:val="Επικεφαλίδα 3 Char"/>
    <w:basedOn w:val="a0"/>
    <w:link w:val="3"/>
    <w:uiPriority w:val="9"/>
    <w:semiHidden/>
    <w:rsid w:val="00DA5D46"/>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qFormat/>
    <w:rsid w:val="00DA5D46"/>
    <w:pPr>
      <w:spacing w:before="120" w:after="120"/>
    </w:pPr>
    <w:rPr>
      <w:b/>
      <w:bCs/>
      <w:caps/>
      <w:sz w:val="20"/>
      <w:szCs w:val="20"/>
    </w:rPr>
  </w:style>
  <w:style w:type="paragraph" w:styleId="20">
    <w:name w:val="toc 2"/>
    <w:basedOn w:val="a"/>
    <w:next w:val="a"/>
    <w:autoRedefine/>
    <w:uiPriority w:val="39"/>
    <w:unhideWhenUsed/>
    <w:qFormat/>
    <w:rsid w:val="00DA5D46"/>
    <w:pPr>
      <w:spacing w:after="0"/>
      <w:ind w:left="220"/>
    </w:pPr>
    <w:rPr>
      <w:smallCaps/>
      <w:sz w:val="20"/>
      <w:szCs w:val="20"/>
    </w:rPr>
  </w:style>
  <w:style w:type="paragraph" w:styleId="30">
    <w:name w:val="toc 3"/>
    <w:basedOn w:val="a"/>
    <w:next w:val="a"/>
    <w:autoRedefine/>
    <w:uiPriority w:val="39"/>
    <w:unhideWhenUsed/>
    <w:qFormat/>
    <w:rsid w:val="00DA5D46"/>
    <w:pPr>
      <w:spacing w:after="0"/>
      <w:ind w:left="440"/>
    </w:pPr>
    <w:rPr>
      <w:i/>
      <w:iCs/>
      <w:sz w:val="20"/>
      <w:szCs w:val="20"/>
    </w:rPr>
  </w:style>
  <w:style w:type="paragraph" w:styleId="a3">
    <w:name w:val="caption"/>
    <w:basedOn w:val="a"/>
    <w:next w:val="a"/>
    <w:uiPriority w:val="35"/>
    <w:unhideWhenUsed/>
    <w:qFormat/>
    <w:rsid w:val="00DA5D46"/>
    <w:pPr>
      <w:spacing w:line="240" w:lineRule="auto"/>
    </w:pPr>
    <w:rPr>
      <w:rFonts w:eastAsiaTheme="minorEastAsia"/>
      <w:b/>
      <w:bCs/>
      <w:color w:val="4F81BD" w:themeColor="accent1"/>
      <w:sz w:val="18"/>
      <w:szCs w:val="18"/>
      <w:lang w:eastAsia="el-GR"/>
    </w:rPr>
  </w:style>
  <w:style w:type="paragraph" w:styleId="a4">
    <w:name w:val="No Spacing"/>
    <w:uiPriority w:val="1"/>
    <w:qFormat/>
    <w:rsid w:val="00DA5D46"/>
    <w:pPr>
      <w:spacing w:after="0" w:line="240" w:lineRule="auto"/>
    </w:pPr>
  </w:style>
  <w:style w:type="paragraph" w:styleId="a5">
    <w:name w:val="List Paragraph"/>
    <w:basedOn w:val="a"/>
    <w:uiPriority w:val="99"/>
    <w:qFormat/>
    <w:rsid w:val="00DA5D46"/>
    <w:pPr>
      <w:ind w:left="720"/>
      <w:contextualSpacing/>
    </w:pPr>
  </w:style>
  <w:style w:type="paragraph" w:styleId="a6">
    <w:name w:val="TOC Heading"/>
    <w:basedOn w:val="1"/>
    <w:next w:val="a"/>
    <w:uiPriority w:val="39"/>
    <w:semiHidden/>
    <w:unhideWhenUsed/>
    <w:qFormat/>
    <w:rsid w:val="00DA5D46"/>
    <w:pPr>
      <w:outlineLvl w:val="9"/>
    </w:pPr>
    <w:rPr>
      <w:lang w:eastAsia="el-GR"/>
    </w:rPr>
  </w:style>
  <w:style w:type="paragraph" w:styleId="a7">
    <w:name w:val="header"/>
    <w:basedOn w:val="a"/>
    <w:link w:val="Char"/>
    <w:uiPriority w:val="99"/>
    <w:unhideWhenUsed/>
    <w:rsid w:val="00A9257F"/>
    <w:pPr>
      <w:tabs>
        <w:tab w:val="center" w:pos="4153"/>
        <w:tab w:val="right" w:pos="8306"/>
      </w:tabs>
      <w:spacing w:after="0" w:line="240" w:lineRule="auto"/>
    </w:pPr>
  </w:style>
  <w:style w:type="character" w:customStyle="1" w:styleId="Char">
    <w:name w:val="Κεφαλίδα Char"/>
    <w:basedOn w:val="a0"/>
    <w:link w:val="a7"/>
    <w:uiPriority w:val="99"/>
    <w:rsid w:val="00A9257F"/>
  </w:style>
  <w:style w:type="paragraph" w:styleId="a8">
    <w:name w:val="footer"/>
    <w:basedOn w:val="a"/>
    <w:link w:val="Char0"/>
    <w:uiPriority w:val="99"/>
    <w:unhideWhenUsed/>
    <w:rsid w:val="00A9257F"/>
    <w:pPr>
      <w:tabs>
        <w:tab w:val="center" w:pos="4153"/>
        <w:tab w:val="right" w:pos="8306"/>
      </w:tabs>
      <w:spacing w:after="0" w:line="240" w:lineRule="auto"/>
    </w:pPr>
  </w:style>
  <w:style w:type="character" w:customStyle="1" w:styleId="Char0">
    <w:name w:val="Υποσέλιδο Char"/>
    <w:basedOn w:val="a0"/>
    <w:link w:val="a8"/>
    <w:uiPriority w:val="99"/>
    <w:rsid w:val="00A9257F"/>
  </w:style>
  <w:style w:type="table" w:styleId="a9">
    <w:name w:val="Table Grid"/>
    <w:basedOn w:val="a1"/>
    <w:uiPriority w:val="99"/>
    <w:rsid w:val="00A9257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A9257F"/>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A9257F"/>
    <w:rPr>
      <w:rFonts w:ascii="Tahoma" w:hAnsi="Tahoma" w:cs="Tahoma"/>
      <w:sz w:val="16"/>
      <w:szCs w:val="16"/>
    </w:rPr>
  </w:style>
  <w:style w:type="paragraph" w:styleId="Web">
    <w:name w:val="Normal (Web)"/>
    <w:basedOn w:val="a"/>
    <w:uiPriority w:val="99"/>
    <w:unhideWhenUsed/>
    <w:rsid w:val="002308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endnote text"/>
    <w:basedOn w:val="a"/>
    <w:link w:val="Char2"/>
    <w:uiPriority w:val="99"/>
    <w:semiHidden/>
    <w:unhideWhenUsed/>
    <w:rsid w:val="00525F15"/>
    <w:pPr>
      <w:spacing w:after="0" w:line="240" w:lineRule="auto"/>
    </w:pPr>
    <w:rPr>
      <w:sz w:val="20"/>
      <w:szCs w:val="20"/>
    </w:rPr>
  </w:style>
  <w:style w:type="character" w:customStyle="1" w:styleId="Char2">
    <w:name w:val="Κείμενο σημείωσης τέλους Char"/>
    <w:basedOn w:val="a0"/>
    <w:link w:val="ab"/>
    <w:uiPriority w:val="99"/>
    <w:semiHidden/>
    <w:rsid w:val="00525F15"/>
    <w:rPr>
      <w:sz w:val="20"/>
      <w:szCs w:val="20"/>
    </w:rPr>
  </w:style>
  <w:style w:type="character" w:styleId="ac">
    <w:name w:val="endnote reference"/>
    <w:basedOn w:val="a0"/>
    <w:uiPriority w:val="99"/>
    <w:semiHidden/>
    <w:unhideWhenUsed/>
    <w:rsid w:val="00525F15"/>
    <w:rPr>
      <w:vertAlign w:val="superscript"/>
    </w:rPr>
  </w:style>
  <w:style w:type="paragraph" w:styleId="ad">
    <w:name w:val="footnote text"/>
    <w:basedOn w:val="a"/>
    <w:link w:val="Char3"/>
    <w:uiPriority w:val="99"/>
    <w:semiHidden/>
    <w:unhideWhenUsed/>
    <w:rsid w:val="000A0DC2"/>
    <w:pPr>
      <w:spacing w:after="0" w:line="240" w:lineRule="auto"/>
    </w:pPr>
    <w:rPr>
      <w:sz w:val="20"/>
      <w:szCs w:val="20"/>
    </w:rPr>
  </w:style>
  <w:style w:type="character" w:customStyle="1" w:styleId="Char3">
    <w:name w:val="Κείμενο υποσημείωσης Char"/>
    <w:basedOn w:val="a0"/>
    <w:link w:val="ad"/>
    <w:uiPriority w:val="99"/>
    <w:semiHidden/>
    <w:rsid w:val="000A0DC2"/>
    <w:rPr>
      <w:sz w:val="20"/>
      <w:szCs w:val="20"/>
    </w:rPr>
  </w:style>
  <w:style w:type="character" w:styleId="ae">
    <w:name w:val="footnote reference"/>
    <w:basedOn w:val="a0"/>
    <w:uiPriority w:val="99"/>
    <w:semiHidden/>
    <w:unhideWhenUsed/>
    <w:rsid w:val="000A0DC2"/>
    <w:rPr>
      <w:vertAlign w:val="superscript"/>
    </w:rPr>
  </w:style>
  <w:style w:type="character" w:styleId="af">
    <w:name w:val="annotation reference"/>
    <w:basedOn w:val="a0"/>
    <w:uiPriority w:val="99"/>
    <w:semiHidden/>
    <w:unhideWhenUsed/>
    <w:rsid w:val="006868E2"/>
    <w:rPr>
      <w:sz w:val="18"/>
      <w:szCs w:val="18"/>
    </w:rPr>
  </w:style>
  <w:style w:type="paragraph" w:styleId="af0">
    <w:name w:val="annotation text"/>
    <w:basedOn w:val="a"/>
    <w:link w:val="Char4"/>
    <w:uiPriority w:val="99"/>
    <w:semiHidden/>
    <w:unhideWhenUsed/>
    <w:rsid w:val="006868E2"/>
    <w:pPr>
      <w:spacing w:line="240" w:lineRule="auto"/>
    </w:pPr>
    <w:rPr>
      <w:sz w:val="24"/>
      <w:szCs w:val="24"/>
    </w:rPr>
  </w:style>
  <w:style w:type="character" w:customStyle="1" w:styleId="Char4">
    <w:name w:val="Κείμενο σχολίου Char"/>
    <w:basedOn w:val="a0"/>
    <w:link w:val="af0"/>
    <w:uiPriority w:val="99"/>
    <w:semiHidden/>
    <w:rsid w:val="006868E2"/>
    <w:rPr>
      <w:sz w:val="24"/>
      <w:szCs w:val="24"/>
    </w:rPr>
  </w:style>
  <w:style w:type="paragraph" w:styleId="af1">
    <w:name w:val="annotation subject"/>
    <w:basedOn w:val="af0"/>
    <w:next w:val="af0"/>
    <w:link w:val="Char5"/>
    <w:uiPriority w:val="99"/>
    <w:semiHidden/>
    <w:unhideWhenUsed/>
    <w:rsid w:val="006868E2"/>
    <w:rPr>
      <w:b/>
      <w:bCs/>
      <w:sz w:val="20"/>
      <w:szCs w:val="20"/>
    </w:rPr>
  </w:style>
  <w:style w:type="character" w:customStyle="1" w:styleId="Char5">
    <w:name w:val="Θέμα σχολίου Char"/>
    <w:basedOn w:val="Char4"/>
    <w:link w:val="af1"/>
    <w:uiPriority w:val="99"/>
    <w:semiHidden/>
    <w:rsid w:val="006868E2"/>
    <w:rPr>
      <w:b/>
      <w:bCs/>
      <w:sz w:val="20"/>
      <w:szCs w:val="20"/>
    </w:rPr>
  </w:style>
  <w:style w:type="character" w:styleId="af2">
    <w:name w:val="Emphasis"/>
    <w:basedOn w:val="a0"/>
    <w:uiPriority w:val="20"/>
    <w:qFormat/>
    <w:rsid w:val="00686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461">
      <w:bodyDiv w:val="1"/>
      <w:marLeft w:val="0"/>
      <w:marRight w:val="0"/>
      <w:marTop w:val="0"/>
      <w:marBottom w:val="0"/>
      <w:divBdr>
        <w:top w:val="none" w:sz="0" w:space="0" w:color="auto"/>
        <w:left w:val="none" w:sz="0" w:space="0" w:color="auto"/>
        <w:bottom w:val="none" w:sz="0" w:space="0" w:color="auto"/>
        <w:right w:val="none" w:sz="0" w:space="0" w:color="auto"/>
      </w:divBdr>
    </w:div>
    <w:div w:id="181207352">
      <w:bodyDiv w:val="1"/>
      <w:marLeft w:val="0"/>
      <w:marRight w:val="0"/>
      <w:marTop w:val="0"/>
      <w:marBottom w:val="0"/>
      <w:divBdr>
        <w:top w:val="none" w:sz="0" w:space="0" w:color="auto"/>
        <w:left w:val="none" w:sz="0" w:space="0" w:color="auto"/>
        <w:bottom w:val="none" w:sz="0" w:space="0" w:color="auto"/>
        <w:right w:val="none" w:sz="0" w:space="0" w:color="auto"/>
      </w:divBdr>
    </w:div>
    <w:div w:id="376394514">
      <w:bodyDiv w:val="1"/>
      <w:marLeft w:val="0"/>
      <w:marRight w:val="0"/>
      <w:marTop w:val="0"/>
      <w:marBottom w:val="0"/>
      <w:divBdr>
        <w:top w:val="none" w:sz="0" w:space="0" w:color="auto"/>
        <w:left w:val="none" w:sz="0" w:space="0" w:color="auto"/>
        <w:bottom w:val="none" w:sz="0" w:space="0" w:color="auto"/>
        <w:right w:val="none" w:sz="0" w:space="0" w:color="auto"/>
      </w:divBdr>
    </w:div>
    <w:div w:id="830023983">
      <w:bodyDiv w:val="1"/>
      <w:marLeft w:val="0"/>
      <w:marRight w:val="0"/>
      <w:marTop w:val="0"/>
      <w:marBottom w:val="0"/>
      <w:divBdr>
        <w:top w:val="none" w:sz="0" w:space="0" w:color="auto"/>
        <w:left w:val="none" w:sz="0" w:space="0" w:color="auto"/>
        <w:bottom w:val="none" w:sz="0" w:space="0" w:color="auto"/>
        <w:right w:val="none" w:sz="0" w:space="0" w:color="auto"/>
      </w:divBdr>
    </w:div>
    <w:div w:id="929970835">
      <w:bodyDiv w:val="1"/>
      <w:marLeft w:val="0"/>
      <w:marRight w:val="0"/>
      <w:marTop w:val="0"/>
      <w:marBottom w:val="0"/>
      <w:divBdr>
        <w:top w:val="none" w:sz="0" w:space="0" w:color="auto"/>
        <w:left w:val="none" w:sz="0" w:space="0" w:color="auto"/>
        <w:bottom w:val="none" w:sz="0" w:space="0" w:color="auto"/>
        <w:right w:val="none" w:sz="0" w:space="0" w:color="auto"/>
      </w:divBdr>
    </w:div>
    <w:div w:id="1015880310">
      <w:bodyDiv w:val="1"/>
      <w:marLeft w:val="0"/>
      <w:marRight w:val="0"/>
      <w:marTop w:val="0"/>
      <w:marBottom w:val="0"/>
      <w:divBdr>
        <w:top w:val="none" w:sz="0" w:space="0" w:color="auto"/>
        <w:left w:val="none" w:sz="0" w:space="0" w:color="auto"/>
        <w:bottom w:val="none" w:sz="0" w:space="0" w:color="auto"/>
        <w:right w:val="none" w:sz="0" w:space="0" w:color="auto"/>
      </w:divBdr>
    </w:div>
    <w:div w:id="1068458188">
      <w:bodyDiv w:val="1"/>
      <w:marLeft w:val="0"/>
      <w:marRight w:val="0"/>
      <w:marTop w:val="0"/>
      <w:marBottom w:val="0"/>
      <w:divBdr>
        <w:top w:val="none" w:sz="0" w:space="0" w:color="auto"/>
        <w:left w:val="none" w:sz="0" w:space="0" w:color="auto"/>
        <w:bottom w:val="none" w:sz="0" w:space="0" w:color="auto"/>
        <w:right w:val="none" w:sz="0" w:space="0" w:color="auto"/>
      </w:divBdr>
    </w:div>
    <w:div w:id="1276520133">
      <w:bodyDiv w:val="1"/>
      <w:marLeft w:val="0"/>
      <w:marRight w:val="0"/>
      <w:marTop w:val="0"/>
      <w:marBottom w:val="0"/>
      <w:divBdr>
        <w:top w:val="none" w:sz="0" w:space="0" w:color="auto"/>
        <w:left w:val="none" w:sz="0" w:space="0" w:color="auto"/>
        <w:bottom w:val="none" w:sz="0" w:space="0" w:color="auto"/>
        <w:right w:val="none" w:sz="0" w:space="0" w:color="auto"/>
      </w:divBdr>
    </w:div>
    <w:div w:id="1384673205">
      <w:bodyDiv w:val="1"/>
      <w:marLeft w:val="0"/>
      <w:marRight w:val="0"/>
      <w:marTop w:val="0"/>
      <w:marBottom w:val="0"/>
      <w:divBdr>
        <w:top w:val="none" w:sz="0" w:space="0" w:color="auto"/>
        <w:left w:val="none" w:sz="0" w:space="0" w:color="auto"/>
        <w:bottom w:val="none" w:sz="0" w:space="0" w:color="auto"/>
        <w:right w:val="none" w:sz="0" w:space="0" w:color="auto"/>
      </w:divBdr>
    </w:div>
    <w:div w:id="1505626912">
      <w:bodyDiv w:val="1"/>
      <w:marLeft w:val="0"/>
      <w:marRight w:val="0"/>
      <w:marTop w:val="0"/>
      <w:marBottom w:val="0"/>
      <w:divBdr>
        <w:top w:val="none" w:sz="0" w:space="0" w:color="auto"/>
        <w:left w:val="none" w:sz="0" w:space="0" w:color="auto"/>
        <w:bottom w:val="none" w:sz="0" w:space="0" w:color="auto"/>
        <w:right w:val="none" w:sz="0" w:space="0" w:color="auto"/>
      </w:divBdr>
    </w:div>
    <w:div w:id="1628586577">
      <w:bodyDiv w:val="1"/>
      <w:marLeft w:val="0"/>
      <w:marRight w:val="0"/>
      <w:marTop w:val="0"/>
      <w:marBottom w:val="0"/>
      <w:divBdr>
        <w:top w:val="none" w:sz="0" w:space="0" w:color="auto"/>
        <w:left w:val="none" w:sz="0" w:space="0" w:color="auto"/>
        <w:bottom w:val="none" w:sz="0" w:space="0" w:color="auto"/>
        <w:right w:val="none" w:sz="0" w:space="0" w:color="auto"/>
      </w:divBdr>
    </w:div>
    <w:div w:id="1728869079">
      <w:bodyDiv w:val="1"/>
      <w:marLeft w:val="0"/>
      <w:marRight w:val="0"/>
      <w:marTop w:val="0"/>
      <w:marBottom w:val="0"/>
      <w:divBdr>
        <w:top w:val="none" w:sz="0" w:space="0" w:color="auto"/>
        <w:left w:val="none" w:sz="0" w:space="0" w:color="auto"/>
        <w:bottom w:val="none" w:sz="0" w:space="0" w:color="auto"/>
        <w:right w:val="none" w:sz="0" w:space="0" w:color="auto"/>
      </w:divBdr>
    </w:div>
    <w:div w:id="1801335510">
      <w:bodyDiv w:val="1"/>
      <w:marLeft w:val="0"/>
      <w:marRight w:val="0"/>
      <w:marTop w:val="0"/>
      <w:marBottom w:val="0"/>
      <w:divBdr>
        <w:top w:val="none" w:sz="0" w:space="0" w:color="auto"/>
        <w:left w:val="none" w:sz="0" w:space="0" w:color="auto"/>
        <w:bottom w:val="none" w:sz="0" w:space="0" w:color="auto"/>
        <w:right w:val="none" w:sz="0" w:space="0" w:color="auto"/>
      </w:divBdr>
    </w:div>
    <w:div w:id="1808010289">
      <w:bodyDiv w:val="1"/>
      <w:marLeft w:val="0"/>
      <w:marRight w:val="0"/>
      <w:marTop w:val="0"/>
      <w:marBottom w:val="0"/>
      <w:divBdr>
        <w:top w:val="none" w:sz="0" w:space="0" w:color="auto"/>
        <w:left w:val="none" w:sz="0" w:space="0" w:color="auto"/>
        <w:bottom w:val="none" w:sz="0" w:space="0" w:color="auto"/>
        <w:right w:val="none" w:sz="0" w:space="0" w:color="auto"/>
      </w:divBdr>
    </w:div>
    <w:div w:id="1837762050">
      <w:bodyDiv w:val="1"/>
      <w:marLeft w:val="0"/>
      <w:marRight w:val="0"/>
      <w:marTop w:val="0"/>
      <w:marBottom w:val="0"/>
      <w:divBdr>
        <w:top w:val="none" w:sz="0" w:space="0" w:color="auto"/>
        <w:left w:val="none" w:sz="0" w:space="0" w:color="auto"/>
        <w:bottom w:val="none" w:sz="0" w:space="0" w:color="auto"/>
        <w:right w:val="none" w:sz="0" w:space="0" w:color="auto"/>
      </w:divBdr>
    </w:div>
    <w:div w:id="1968781758">
      <w:bodyDiv w:val="1"/>
      <w:marLeft w:val="0"/>
      <w:marRight w:val="0"/>
      <w:marTop w:val="0"/>
      <w:marBottom w:val="0"/>
      <w:divBdr>
        <w:top w:val="none" w:sz="0" w:space="0" w:color="auto"/>
        <w:left w:val="none" w:sz="0" w:space="0" w:color="auto"/>
        <w:bottom w:val="none" w:sz="0" w:space="0" w:color="auto"/>
        <w:right w:val="none" w:sz="0" w:space="0" w:color="auto"/>
      </w:divBdr>
    </w:div>
    <w:div w:id="19941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image" Target="media/image1.jpe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a:t>ΓΡΑΦΗΜΑ 1</a:t>
            </a:r>
          </a:p>
          <a:p>
            <a:pPr>
              <a:defRPr sz="1600" b="1" i="0" u="none" strike="noStrike" kern="1200" cap="all" spc="120" normalizeH="0" baseline="0">
                <a:solidFill>
                  <a:schemeClr val="tx1">
                    <a:lumMod val="65000"/>
                    <a:lumOff val="35000"/>
                  </a:schemeClr>
                </a:solidFill>
                <a:latin typeface="+mn-lt"/>
                <a:ea typeface="+mn-ea"/>
                <a:cs typeface="+mn-cs"/>
              </a:defRPr>
            </a:pPr>
            <a:r>
              <a:rPr lang="el-GR"/>
              <a:t>ΔΕΙΚΤΗΣ ΟΙΚΟΝΟΜΙΚΟΥ ΚΛΙΜΑΤΟΣ ΜΜΕ </a:t>
            </a:r>
            <a:r>
              <a:rPr lang="el-GR" baseline="0"/>
              <a:t> </a:t>
            </a:r>
            <a:endParaRPr lang="el-GR"/>
          </a:p>
        </c:rich>
      </c:tx>
      <c:overlay val="0"/>
      <c:spPr>
        <a:noFill/>
        <a:ln>
          <a:noFill/>
        </a:ln>
        <a:effectLst/>
      </c:spPr>
    </c:title>
    <c:autoTitleDeleted val="0"/>
    <c:plotArea>
      <c:layout>
        <c:manualLayout>
          <c:layoutTarget val="inner"/>
          <c:xMode val="edge"/>
          <c:yMode val="edge"/>
          <c:x val="6.0129295092509701E-2"/>
          <c:y val="0.20379572118702599"/>
          <c:w val="0.91549125673475995"/>
          <c:h val="0.66044950902876298"/>
        </c:manualLayout>
      </c:layout>
      <c:lineChart>
        <c:grouping val="standard"/>
        <c:varyColors val="0"/>
        <c:ser>
          <c:idx val="1"/>
          <c:order val="0"/>
          <c:tx>
            <c:strRef>
              <c:f>'ΚΑΤΑΣΤΑΣΗ ΕΠΙΧΕΙΡΗΣΗΣ ΜΕΘ.Ε '!$A$4</c:f>
              <c:strCache>
                <c:ptCount val="1"/>
                <c:pt idx="0">
                  <c:v>ΕΛΛΑΔΑ</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7"/>
              <c:layout>
                <c:manualLayout>
                  <c:x val="7.3309271276612094E-5"/>
                  <c:y val="1.816075534805870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4.2838922684488578E-2"/>
                      <c:h val="6.2629201217104497E-2"/>
                    </c:manualLayout>
                  </c15:layout>
                </c:ext>
                <c:ext xmlns:c16="http://schemas.microsoft.com/office/drawing/2014/chart" uri="{C3380CC4-5D6E-409C-BE32-E72D297353CC}">
                  <c16:uniqueId val="{00000000-EFBC-4B4E-AC46-865D2048B05B}"/>
                </c:ext>
              </c:extLst>
            </c:dLbl>
            <c:dLbl>
              <c:idx val="17"/>
              <c:layout>
                <c:manualLayout>
                  <c:x val="2.0271205841356599E-3"/>
                  <c:y val="-7.402213550739790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BC-4B4E-AC46-865D2048B05B}"/>
                </c:ext>
              </c:extLst>
            </c:dLbl>
            <c:dLbl>
              <c:idx val="20"/>
              <c:layout>
                <c:manualLayout>
                  <c:x val="-2.1939549467219301E-2"/>
                  <c:y val="-4.4275369892922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BC-4B4E-AC46-865D2048B0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'ΚΑΤΑΣΤΑΣΗ ΕΠΙΧΕΙΡΗΣΗΣ ΜΕΘ.Ε '!$B$3:$V$3</c:f>
              <c:strCache>
                <c:ptCount val="21"/>
                <c:pt idx="0">
                  <c:v>2011Α</c:v>
                </c:pt>
                <c:pt idx="1">
                  <c:v>2011Β</c:v>
                </c:pt>
                <c:pt idx="2">
                  <c:v>2012Α</c:v>
                </c:pt>
                <c:pt idx="3">
                  <c:v>2012Β</c:v>
                </c:pt>
                <c:pt idx="4">
                  <c:v>2013Α</c:v>
                </c:pt>
                <c:pt idx="5">
                  <c:v>2013Β</c:v>
                </c:pt>
                <c:pt idx="6">
                  <c:v>2014Α</c:v>
                </c:pt>
                <c:pt idx="7">
                  <c:v>2014Β</c:v>
                </c:pt>
                <c:pt idx="8">
                  <c:v>2015Α</c:v>
                </c:pt>
                <c:pt idx="9">
                  <c:v>2015Β</c:v>
                </c:pt>
                <c:pt idx="10">
                  <c:v>2016Α</c:v>
                </c:pt>
                <c:pt idx="11">
                  <c:v>2016Β</c:v>
                </c:pt>
                <c:pt idx="12">
                  <c:v>2017Α</c:v>
                </c:pt>
                <c:pt idx="13">
                  <c:v>2017Β</c:v>
                </c:pt>
                <c:pt idx="14">
                  <c:v>2018Α</c:v>
                </c:pt>
                <c:pt idx="15">
                  <c:v>2018Β</c:v>
                </c:pt>
                <c:pt idx="16">
                  <c:v>2019A</c:v>
                </c:pt>
                <c:pt idx="17">
                  <c:v>2019Β</c:v>
                </c:pt>
                <c:pt idx="18">
                  <c:v>2020Α</c:v>
                </c:pt>
                <c:pt idx="19">
                  <c:v>2020Β</c:v>
                </c:pt>
                <c:pt idx="20">
                  <c:v>2021Α</c:v>
                </c:pt>
              </c:strCache>
            </c:strRef>
          </c:cat>
          <c:val>
            <c:numRef>
              <c:f>'ΚΑΤΑΣΤΑΣΗ ΕΠΙΧΕΙΡΗΣΗΣ ΜΕΘ.Ε '!$B$4:$V$4</c:f>
              <c:numCache>
                <c:formatCode>0.0</c:formatCode>
                <c:ptCount val="21"/>
                <c:pt idx="0">
                  <c:v>18.455366098294871</c:v>
                </c:pt>
                <c:pt idx="1">
                  <c:v>12.612612612612621</c:v>
                </c:pt>
                <c:pt idx="2">
                  <c:v>11.72344689378756</c:v>
                </c:pt>
                <c:pt idx="3">
                  <c:v>17.917917917917919</c:v>
                </c:pt>
                <c:pt idx="4">
                  <c:v>24.599999999999991</c:v>
                </c:pt>
                <c:pt idx="5">
                  <c:v>29.7</c:v>
                </c:pt>
                <c:pt idx="6">
                  <c:v>35.170340681362717</c:v>
                </c:pt>
                <c:pt idx="7">
                  <c:v>41.341341341341341</c:v>
                </c:pt>
                <c:pt idx="8">
                  <c:v>15.7</c:v>
                </c:pt>
                <c:pt idx="9">
                  <c:v>24.92492492492492</c:v>
                </c:pt>
                <c:pt idx="10">
                  <c:v>30.79999999999999</c:v>
                </c:pt>
                <c:pt idx="11">
                  <c:v>30.99297893681042</c:v>
                </c:pt>
                <c:pt idx="12">
                  <c:v>41.482965931863731</c:v>
                </c:pt>
                <c:pt idx="13">
                  <c:v>46.66666666666665</c:v>
                </c:pt>
                <c:pt idx="14">
                  <c:v>52.958876629889673</c:v>
                </c:pt>
                <c:pt idx="15">
                  <c:v>58.758758758758759</c:v>
                </c:pt>
                <c:pt idx="16">
                  <c:v>61.933534743202422</c:v>
                </c:pt>
                <c:pt idx="17">
                  <c:v>66.36546184738954</c:v>
                </c:pt>
                <c:pt idx="18">
                  <c:v>20.100000000000001</c:v>
                </c:pt>
                <c:pt idx="19">
                  <c:v>20.100000000000001</c:v>
                </c:pt>
                <c:pt idx="20">
                  <c:v>46.3</c:v>
                </c:pt>
              </c:numCache>
            </c:numRef>
          </c:val>
          <c:smooth val="0"/>
          <c:extLst>
            <c:ext xmlns:c16="http://schemas.microsoft.com/office/drawing/2014/chart" uri="{C3380CC4-5D6E-409C-BE32-E72D297353CC}">
              <c16:uniqueId val="{00000001-B6F4-43B1-8FB8-1EE9694EE3D3}"/>
            </c:ext>
          </c:extLst>
        </c:ser>
        <c:dLbls>
          <c:showLegendKey val="0"/>
          <c:showVal val="0"/>
          <c:showCatName val="0"/>
          <c:showSerName val="0"/>
          <c:showPercent val="0"/>
          <c:showBubbleSize val="0"/>
        </c:dLbls>
        <c:marker val="1"/>
        <c:smooth val="0"/>
        <c:axId val="2079736440"/>
        <c:axId val="2079732472"/>
      </c:lineChart>
      <c:catAx>
        <c:axId val="2079736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79732472"/>
        <c:crosses val="autoZero"/>
        <c:auto val="1"/>
        <c:lblAlgn val="ctr"/>
        <c:lblOffset val="100"/>
        <c:noMultiLvlLbl val="0"/>
      </c:catAx>
      <c:valAx>
        <c:axId val="2079732472"/>
        <c:scaling>
          <c:orientation val="minMax"/>
          <c:max val="80"/>
        </c:scaling>
        <c:delete val="0"/>
        <c:axPos val="l"/>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736440"/>
        <c:crosses val="autoZero"/>
        <c:crossBetween val="between"/>
        <c:majorUnit val="10"/>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868622336394297E-2"/>
          <c:y val="0.132854092670042"/>
          <c:w val="0.96413137766360602"/>
          <c:h val="0.75969981620430904"/>
        </c:manualLayout>
      </c:layout>
      <c:barChart>
        <c:barDir val="col"/>
        <c:grouping val="clustered"/>
        <c:varyColors val="0"/>
        <c:ser>
          <c:idx val="0"/>
          <c:order val="0"/>
          <c:tx>
            <c:strRef>
              <c:f>Φύλλο1!$B$1</c:f>
              <c:strCache>
                <c:ptCount val="1"/>
                <c:pt idx="0">
                  <c:v>2020</c:v>
                </c:pt>
              </c:strCache>
            </c:strRef>
          </c:tx>
          <c:spPr>
            <a:solidFill>
              <a:schemeClr val="accent1">
                <a:lumMod val="75000"/>
              </a:schemeClr>
            </a:solidFill>
          </c:spPr>
          <c:invertIfNegative val="0"/>
          <c:dPt>
            <c:idx val="0"/>
            <c:invertIfNegative val="0"/>
            <c:bubble3D val="0"/>
            <c:spPr>
              <a:solidFill>
                <a:schemeClr val="accent2"/>
              </a:solidFill>
            </c:spPr>
            <c:extLst>
              <c:ext xmlns:c16="http://schemas.microsoft.com/office/drawing/2014/chart" uri="{C3380CC4-5D6E-409C-BE32-E72D297353CC}">
                <c16:uniqueId val="{00000001-98CF-4971-B574-2021F9C03130}"/>
              </c:ext>
            </c:extLst>
          </c:dPt>
          <c:dPt>
            <c:idx val="3"/>
            <c:invertIfNegative val="0"/>
            <c:bubble3D val="0"/>
            <c:extLst>
              <c:ext xmlns:c16="http://schemas.microsoft.com/office/drawing/2014/chart" uri="{C3380CC4-5D6E-409C-BE32-E72D297353CC}">
                <c16:uniqueId val="{00000002-98CF-4971-B574-2021F9C03130}"/>
              </c:ext>
            </c:extLst>
          </c:dPt>
          <c:dPt>
            <c:idx val="6"/>
            <c:invertIfNegative val="0"/>
            <c:bubble3D val="0"/>
            <c:spPr>
              <a:solidFill>
                <a:srgbClr val="A1A1A1"/>
              </a:solidFill>
            </c:spPr>
            <c:extLst>
              <c:ext xmlns:c16="http://schemas.microsoft.com/office/drawing/2014/chart" uri="{C3380CC4-5D6E-409C-BE32-E72D297353CC}">
                <c16:uniqueId val="{00000004-98CF-4971-B574-2021F9C03130}"/>
              </c:ext>
            </c:extLst>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Φύλλο1!$A$2:$A$8</c:f>
              <c:strCache>
                <c:ptCount val="7"/>
                <c:pt idx="0">
                  <c:v>Ζημιές - Μηδενικό (δεν έχω κέρδη)</c:v>
                </c:pt>
                <c:pt idx="1">
                  <c:v>Κάτω από 5.000</c:v>
                </c:pt>
                <c:pt idx="2">
                  <c:v>5.000 – 10.000</c:v>
                </c:pt>
                <c:pt idx="3">
                  <c:v>10.000-20.000</c:v>
                </c:pt>
                <c:pt idx="4">
                  <c:v>20.000- 30.000</c:v>
                </c:pt>
                <c:pt idx="5">
                  <c:v>Άνω των 30.000</c:v>
                </c:pt>
                <c:pt idx="6">
                  <c:v>Δ.Γ/Δ.Α</c:v>
                </c:pt>
              </c:strCache>
            </c:strRef>
          </c:cat>
          <c:val>
            <c:numRef>
              <c:f>Φύλλο1!$B$2:$B$8</c:f>
              <c:numCache>
                <c:formatCode>General</c:formatCode>
                <c:ptCount val="7"/>
                <c:pt idx="0">
                  <c:v>22.8</c:v>
                </c:pt>
                <c:pt idx="1">
                  <c:v>14.3</c:v>
                </c:pt>
                <c:pt idx="2">
                  <c:v>11.1</c:v>
                </c:pt>
                <c:pt idx="3">
                  <c:v>6.6</c:v>
                </c:pt>
                <c:pt idx="4">
                  <c:v>4.4000000000000004</c:v>
                </c:pt>
                <c:pt idx="5">
                  <c:v>7</c:v>
                </c:pt>
                <c:pt idx="6">
                  <c:v>34</c:v>
                </c:pt>
              </c:numCache>
            </c:numRef>
          </c:val>
          <c:extLst>
            <c:ext xmlns:c16="http://schemas.microsoft.com/office/drawing/2014/chart" uri="{C3380CC4-5D6E-409C-BE32-E72D297353CC}">
              <c16:uniqueId val="{00000005-98CF-4971-B574-2021F9C03130}"/>
            </c:ext>
          </c:extLst>
        </c:ser>
        <c:ser>
          <c:idx val="1"/>
          <c:order val="1"/>
          <c:tx>
            <c:strRef>
              <c:f>Φύλλο1!$C$1</c:f>
              <c:strCache>
                <c:ptCount val="1"/>
                <c:pt idx="0">
                  <c:v>2019</c:v>
                </c:pt>
              </c:strCache>
            </c:strRef>
          </c:tx>
          <c:spPr>
            <a:solidFill>
              <a:schemeClr val="accent1">
                <a:lumMod val="60000"/>
                <a:lumOff val="40000"/>
              </a:schemeClr>
            </a:solidFill>
          </c:spPr>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7-98CF-4971-B574-2021F9C03130}"/>
              </c:ext>
            </c:extLst>
          </c:dPt>
          <c:dPt>
            <c:idx val="6"/>
            <c:invertIfNegative val="0"/>
            <c:bubble3D val="0"/>
            <c:spPr>
              <a:solidFill>
                <a:schemeClr val="bg1">
                  <a:lumMod val="85000"/>
                </a:schemeClr>
              </a:solidFill>
            </c:spPr>
            <c:extLst>
              <c:ext xmlns:c16="http://schemas.microsoft.com/office/drawing/2014/chart" uri="{C3380CC4-5D6E-409C-BE32-E72D297353CC}">
                <c16:uniqueId val="{00000009-98CF-4971-B574-2021F9C03130}"/>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Φύλλο1!$A$2:$A$8</c:f>
              <c:strCache>
                <c:ptCount val="7"/>
                <c:pt idx="0">
                  <c:v>Ζημιές - Μηδενικό (δεν έχω κέρδη)</c:v>
                </c:pt>
                <c:pt idx="1">
                  <c:v>Κάτω από 5.000</c:v>
                </c:pt>
                <c:pt idx="2">
                  <c:v>5.000 – 10.000</c:v>
                </c:pt>
                <c:pt idx="3">
                  <c:v>10.000-20.000</c:v>
                </c:pt>
                <c:pt idx="4">
                  <c:v>20.000- 30.000</c:v>
                </c:pt>
                <c:pt idx="5">
                  <c:v>Άνω των 30.000</c:v>
                </c:pt>
                <c:pt idx="6">
                  <c:v>Δ.Γ/Δ.Α</c:v>
                </c:pt>
              </c:strCache>
            </c:strRef>
          </c:cat>
          <c:val>
            <c:numRef>
              <c:f>Φύλλο1!$C$2:$C$8</c:f>
              <c:numCache>
                <c:formatCode>General</c:formatCode>
                <c:ptCount val="7"/>
                <c:pt idx="0">
                  <c:v>7.8</c:v>
                </c:pt>
                <c:pt idx="1">
                  <c:v>19.3</c:v>
                </c:pt>
                <c:pt idx="2">
                  <c:v>17.2</c:v>
                </c:pt>
                <c:pt idx="3">
                  <c:v>12.6</c:v>
                </c:pt>
                <c:pt idx="4">
                  <c:v>6.2</c:v>
                </c:pt>
                <c:pt idx="5">
                  <c:v>10.6</c:v>
                </c:pt>
                <c:pt idx="6">
                  <c:v>26.3</c:v>
                </c:pt>
              </c:numCache>
            </c:numRef>
          </c:val>
          <c:extLst>
            <c:ext xmlns:c16="http://schemas.microsoft.com/office/drawing/2014/chart" uri="{C3380CC4-5D6E-409C-BE32-E72D297353CC}">
              <c16:uniqueId val="{0000000A-98CF-4971-B574-2021F9C03130}"/>
            </c:ext>
          </c:extLst>
        </c:ser>
        <c:dLbls>
          <c:dLblPos val="outEnd"/>
          <c:showLegendKey val="0"/>
          <c:showVal val="1"/>
          <c:showCatName val="0"/>
          <c:showSerName val="0"/>
          <c:showPercent val="0"/>
          <c:showBubbleSize val="0"/>
        </c:dLbls>
        <c:gapWidth val="67"/>
        <c:overlap val="-9"/>
        <c:axId val="2124065336"/>
        <c:axId val="2124068424"/>
      </c:barChart>
      <c:catAx>
        <c:axId val="2124065336"/>
        <c:scaling>
          <c:orientation val="minMax"/>
        </c:scaling>
        <c:delete val="0"/>
        <c:axPos val="b"/>
        <c:numFmt formatCode="General" sourceLinked="0"/>
        <c:majorTickMark val="out"/>
        <c:minorTickMark val="none"/>
        <c:tickLblPos val="nextTo"/>
        <c:txPr>
          <a:bodyPr/>
          <a:lstStyle/>
          <a:p>
            <a:pPr>
              <a:defRPr sz="800"/>
            </a:pPr>
            <a:endParaRPr lang="en-US"/>
          </a:p>
        </c:txPr>
        <c:crossAx val="2124068424"/>
        <c:crosses val="autoZero"/>
        <c:auto val="1"/>
        <c:lblAlgn val="ctr"/>
        <c:lblOffset val="100"/>
        <c:noMultiLvlLbl val="0"/>
      </c:catAx>
      <c:valAx>
        <c:axId val="2124068424"/>
        <c:scaling>
          <c:orientation val="minMax"/>
          <c:min val="0"/>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sz="800"/>
            </a:pPr>
            <a:endParaRPr lang="en-US"/>
          </a:p>
        </c:txPr>
        <c:crossAx val="2124065336"/>
        <c:crosses val="autoZero"/>
        <c:crossBetween val="between"/>
        <c:majorUnit val="10"/>
      </c:valAx>
    </c:plotArea>
    <c:legend>
      <c:legendPos val="t"/>
      <c:layout>
        <c:manualLayout>
          <c:xMode val="edge"/>
          <c:yMode val="edge"/>
          <c:x val="0.116839244168949"/>
          <c:y val="2.4131141161665499E-2"/>
          <c:w val="0.75279456128806199"/>
          <c:h val="8.2269140507654603E-2"/>
        </c:manualLayout>
      </c:layout>
      <c:overlay val="0"/>
      <c:txPr>
        <a:bodyPr/>
        <a:lstStyle/>
        <a:p>
          <a:pPr>
            <a:defRPr sz="1000" b="1"/>
          </a:pPr>
          <a:endParaRPr lang="en-US"/>
        </a:p>
      </c:txPr>
    </c:legend>
    <c:plotVisOnly val="1"/>
    <c:dispBlanksAs val="gap"/>
    <c:showDLblsOverMax val="0"/>
  </c:chart>
  <c:txPr>
    <a:bodyPr/>
    <a:lstStyle/>
    <a:p>
      <a:pPr>
        <a:defRPr sz="1200">
          <a:latin typeface="Microsoft JhengHei UI" panose="020B0604030504040204" pitchFamily="34" charset="-120"/>
          <a:ea typeface="Microsoft JhengHei UI" panose="020B0604030504040204" pitchFamily="34" charset="-120"/>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55652053986299"/>
          <c:y val="0.15840266698688801"/>
          <c:w val="0.815030705400549"/>
          <c:h val="0.77252242979431496"/>
        </c:manualLayout>
      </c:layout>
      <c:barChart>
        <c:barDir val="bar"/>
        <c:grouping val="percentStacked"/>
        <c:varyColors val="0"/>
        <c:ser>
          <c:idx val="0"/>
          <c:order val="0"/>
          <c:tx>
            <c:strRef>
              <c:f>Φύλλο1!$B$1</c:f>
              <c:strCache>
                <c:ptCount val="1"/>
                <c:pt idx="0">
                  <c:v>Αύξηση</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Φύλλο1!$B$2:$B$4</c:f>
              <c:numCache>
                <c:formatCode>General</c:formatCode>
                <c:ptCount val="3"/>
                <c:pt idx="0">
                  <c:v>21.1</c:v>
                </c:pt>
                <c:pt idx="1">
                  <c:v>17.7</c:v>
                </c:pt>
                <c:pt idx="2">
                  <c:v>23.6</c:v>
                </c:pt>
              </c:numCache>
            </c:numRef>
          </c:val>
          <c:extLst>
            <c:ext xmlns:c16="http://schemas.microsoft.com/office/drawing/2014/chart" uri="{C3380CC4-5D6E-409C-BE32-E72D297353CC}">
              <c16:uniqueId val="{00000000-BB3A-4024-894D-E1612CBF869E}"/>
            </c:ext>
          </c:extLst>
        </c:ser>
        <c:ser>
          <c:idx val="1"/>
          <c:order val="1"/>
          <c:tx>
            <c:strRef>
              <c:f>Φύλλο1!$C$1</c:f>
              <c:strCache>
                <c:ptCount val="1"/>
                <c:pt idx="0">
                  <c:v>Μείωση</c:v>
                </c:pt>
              </c:strCache>
            </c:strRef>
          </c:tx>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Φύλλο1!$C$2:$C$4</c:f>
              <c:numCache>
                <c:formatCode>General</c:formatCode>
                <c:ptCount val="3"/>
                <c:pt idx="0">
                  <c:v>51.8</c:v>
                </c:pt>
                <c:pt idx="1">
                  <c:v>54</c:v>
                </c:pt>
                <c:pt idx="2">
                  <c:v>16.7</c:v>
                </c:pt>
              </c:numCache>
            </c:numRef>
          </c:val>
          <c:extLst>
            <c:ext xmlns:c16="http://schemas.microsoft.com/office/drawing/2014/chart" uri="{C3380CC4-5D6E-409C-BE32-E72D297353CC}">
              <c16:uniqueId val="{00000001-BB3A-4024-894D-E1612CBF869E}"/>
            </c:ext>
          </c:extLst>
        </c:ser>
        <c:ser>
          <c:idx val="2"/>
          <c:order val="2"/>
          <c:tx>
            <c:strRef>
              <c:f>Φύλλο1!$D$1</c:f>
              <c:strCache>
                <c:ptCount val="1"/>
                <c:pt idx="0">
                  <c:v>Χωρίς μεταβολή</c:v>
                </c:pt>
              </c:strCache>
            </c:strRef>
          </c:tx>
          <c:spPr>
            <a:solidFill>
              <a:schemeClr val="accent1">
                <a:lumMod val="75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Φύλλο1!$D$2:$D$4</c:f>
              <c:numCache>
                <c:formatCode>General</c:formatCode>
                <c:ptCount val="3"/>
                <c:pt idx="0">
                  <c:v>25.7</c:v>
                </c:pt>
                <c:pt idx="1">
                  <c:v>25.2</c:v>
                </c:pt>
                <c:pt idx="2">
                  <c:v>58.3</c:v>
                </c:pt>
              </c:numCache>
            </c:numRef>
          </c:val>
          <c:extLst>
            <c:ext xmlns:c16="http://schemas.microsoft.com/office/drawing/2014/chart" uri="{C3380CC4-5D6E-409C-BE32-E72D297353CC}">
              <c16:uniqueId val="{00000002-BB3A-4024-894D-E1612CBF869E}"/>
            </c:ext>
          </c:extLst>
        </c:ser>
        <c:ser>
          <c:idx val="3"/>
          <c:order val="3"/>
          <c:tx>
            <c:strRef>
              <c:f>Φύλλο1!$E$1</c:f>
              <c:strCache>
                <c:ptCount val="1"/>
                <c:pt idx="0">
                  <c:v>ΔΑ</c:v>
                </c:pt>
              </c:strCache>
            </c:strRef>
          </c:tx>
          <c:spPr>
            <a:solidFill>
              <a:schemeClr val="tx1">
                <a:lumMod val="50000"/>
                <a:lumOff val="50000"/>
              </a:schemeClr>
            </a:solidFill>
          </c:spPr>
          <c:invertIfNegative val="0"/>
          <c:dLbls>
            <c:dLbl>
              <c:idx val="0"/>
              <c:layout>
                <c:manualLayout>
                  <c:x val="1.8245099203536799E-2"/>
                  <c:y val="2.3517757286227502E-3"/>
                </c:manualLayout>
              </c:layout>
              <c:spPr/>
              <c:txPr>
                <a:bodyPr/>
                <a:lstStyle/>
                <a:p>
                  <a:pPr algn="ct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3A-4024-894D-E1612CBF869E}"/>
                </c:ext>
              </c:extLst>
            </c:dLbl>
            <c:dLbl>
              <c:idx val="1"/>
              <c:layout>
                <c:manualLayout>
                  <c:x val="2.67594788318537E-2"/>
                  <c:y val="-8.6223991280180001E-17"/>
                </c:manualLayout>
              </c:layout>
              <c:spPr/>
              <c:txPr>
                <a:bodyPr/>
                <a:lstStyle/>
                <a:p>
                  <a:pPr algn="ct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3A-4024-894D-E1612CBF869E}"/>
                </c:ext>
              </c:extLst>
            </c:dLbl>
            <c:dLbl>
              <c:idx val="2"/>
              <c:layout>
                <c:manualLayout>
                  <c:x val="2.6759478831853901E-2"/>
                  <c:y val="-8.6223991280180001E-17"/>
                </c:manualLayout>
              </c:layout>
              <c:spPr/>
              <c:txPr>
                <a:bodyPr/>
                <a:lstStyle/>
                <a:p>
                  <a:pPr algn="ct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3A-4024-894D-E1612CBF869E}"/>
                </c:ext>
              </c:extLst>
            </c:dLbl>
            <c:dLbl>
              <c:idx val="3"/>
              <c:layout>
                <c:manualLayout>
                  <c:x val="3.89228783008784E-2"/>
                  <c:y val="-8.6223991280180001E-17"/>
                </c:manualLayout>
              </c:layout>
              <c:spPr/>
              <c:txPr>
                <a:bodyPr/>
                <a:lstStyle/>
                <a:p>
                  <a:pPr algn="ct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3A-4024-894D-E1612CBF869E}"/>
                </c:ext>
              </c:extLst>
            </c:dLbl>
            <c:dLbl>
              <c:idx val="4"/>
              <c:layout>
                <c:manualLayout>
                  <c:x val="3.2841178566366203E-2"/>
                  <c:y val="-8.6223991280180001E-17"/>
                </c:manualLayout>
              </c:layout>
              <c:spPr/>
              <c:txPr>
                <a:bodyPr/>
                <a:lstStyle/>
                <a:p>
                  <a:pPr algn="ct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3A-4024-894D-E1612CBF869E}"/>
                </c:ext>
              </c:extLst>
            </c:dLbl>
            <c:dLbl>
              <c:idx val="5"/>
              <c:layout>
                <c:manualLayout>
                  <c:x val="2.6759478831853901E-2"/>
                  <c:y val="-2.3515905640114501E-3"/>
                </c:manualLayout>
              </c:layout>
              <c:spPr/>
              <c:txPr>
                <a:bodyPr/>
                <a:lstStyle/>
                <a:p>
                  <a:pPr algn="ct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3A-4024-894D-E1612CBF869E}"/>
                </c:ext>
              </c:extLst>
            </c:dLbl>
            <c:dLbl>
              <c:idx val="6"/>
              <c:layout>
                <c:manualLayout>
                  <c:x val="4.1355558194683298E-2"/>
                  <c:y val="-2.3515905640114098E-3"/>
                </c:manualLayout>
              </c:layout>
              <c:spPr/>
              <c:txPr>
                <a:bodyPr/>
                <a:lstStyle/>
                <a:p>
                  <a:pPr algn="ct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3A-4024-894D-E1612CBF869E}"/>
                </c:ext>
              </c:extLst>
            </c:dLbl>
            <c:spPr>
              <a:noFill/>
              <a:ln>
                <a:noFill/>
              </a:ln>
              <a:effectLst/>
            </c:spPr>
            <c:txPr>
              <a:bodyPr/>
              <a:lstStyle/>
              <a:p>
                <a:pPr algn="ct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Φύλλο1!$E$2:$E$4</c:f>
              <c:numCache>
                <c:formatCode>General</c:formatCode>
                <c:ptCount val="3"/>
                <c:pt idx="0">
                  <c:v>1.4</c:v>
                </c:pt>
                <c:pt idx="1">
                  <c:v>3.1</c:v>
                </c:pt>
                <c:pt idx="2">
                  <c:v>1.4</c:v>
                </c:pt>
              </c:numCache>
            </c:numRef>
          </c:val>
          <c:extLst>
            <c:ext xmlns:c16="http://schemas.microsoft.com/office/drawing/2014/chart" uri="{C3380CC4-5D6E-409C-BE32-E72D297353CC}">
              <c16:uniqueId val="{0000000A-BB3A-4024-894D-E1612CBF869E}"/>
            </c:ext>
          </c:extLst>
        </c:ser>
        <c:dLbls>
          <c:showLegendKey val="0"/>
          <c:showVal val="0"/>
          <c:showCatName val="0"/>
          <c:showSerName val="0"/>
          <c:showPercent val="0"/>
          <c:showBubbleSize val="0"/>
        </c:dLbls>
        <c:gapWidth val="50"/>
        <c:overlap val="100"/>
        <c:axId val="2123047144"/>
        <c:axId val="2123050280"/>
      </c:barChart>
      <c:catAx>
        <c:axId val="2123047144"/>
        <c:scaling>
          <c:orientation val="maxMin"/>
        </c:scaling>
        <c:delete val="0"/>
        <c:axPos val="l"/>
        <c:numFmt formatCode="General" sourceLinked="0"/>
        <c:majorTickMark val="out"/>
        <c:minorTickMark val="none"/>
        <c:tickLblPos val="nextTo"/>
        <c:crossAx val="2123050280"/>
        <c:crosses val="autoZero"/>
        <c:auto val="1"/>
        <c:lblAlgn val="ctr"/>
        <c:lblOffset val="100"/>
        <c:noMultiLvlLbl val="0"/>
      </c:catAx>
      <c:valAx>
        <c:axId val="2123050280"/>
        <c:scaling>
          <c:orientation val="minMax"/>
        </c:scaling>
        <c:delete val="0"/>
        <c:axPos val="b"/>
        <c:majorGridlines/>
        <c:numFmt formatCode="0%" sourceLinked="1"/>
        <c:majorTickMark val="out"/>
        <c:minorTickMark val="none"/>
        <c:tickLblPos val="nextTo"/>
        <c:crossAx val="2123047144"/>
        <c:crosses val="max"/>
        <c:crossBetween val="between"/>
      </c:valAx>
    </c:plotArea>
    <c:legend>
      <c:legendPos val="r"/>
      <c:layout>
        <c:manualLayout>
          <c:xMode val="edge"/>
          <c:yMode val="edge"/>
          <c:x val="0.16400945871914599"/>
          <c:y val="2.8154093989556699E-2"/>
          <c:w val="0.78739823927609598"/>
          <c:h val="6.2011628337592099E-2"/>
        </c:manualLayout>
      </c:layout>
      <c:overlay val="0"/>
    </c:legend>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417432801398497E-2"/>
          <c:y val="0.21723104165513801"/>
          <c:w val="0.92939898689129197"/>
          <c:h val="0.61122283236712005"/>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spPr>
              <a:noFill/>
              <a:ln>
                <a:noFill/>
              </a:ln>
              <a:effectLst/>
            </c:spPr>
            <c:txPr>
              <a:bodyPr wrap="square" lIns="38100" tIns="19050" rIns="38100" bIns="19050" anchor="ctr">
                <a:spAutoFit/>
              </a:bodyPr>
              <a:lstStyle/>
              <a:p>
                <a:pPr>
                  <a:defRPr sz="9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Φύλλο1!$A$2:$A$14</c:f>
              <c:strCache>
                <c:ptCount val="13"/>
                <c:pt idx="0">
                  <c:v>ΙΟΥΛ. 2015</c:v>
                </c:pt>
                <c:pt idx="1">
                  <c:v>ΦΕΒΡ. 2016</c:v>
                </c:pt>
                <c:pt idx="2">
                  <c:v>ΙΟΥΛ. 2016</c:v>
                </c:pt>
                <c:pt idx="3">
                  <c:v>ΦΕΒΡ. 2017</c:v>
                </c:pt>
                <c:pt idx="4">
                  <c:v>ΙΟΥΛ. 2017</c:v>
                </c:pt>
                <c:pt idx="5">
                  <c:v>ΦΕΒΡ. 2018</c:v>
                </c:pt>
                <c:pt idx="6">
                  <c:v>ΙΟΥΛ. 2018</c:v>
                </c:pt>
                <c:pt idx="7">
                  <c:v>ΦΕΒΡ. 2019</c:v>
                </c:pt>
                <c:pt idx="8">
                  <c:v>ΙΟΥΛ. 2019</c:v>
                </c:pt>
                <c:pt idx="9">
                  <c:v>ΦΕΒΡ. 2020</c:v>
                </c:pt>
                <c:pt idx="10">
                  <c:v>ΙΟΥΛ. 2020</c:v>
                </c:pt>
                <c:pt idx="11">
                  <c:v>ΦΕΒΡ. 2021</c:v>
                </c:pt>
                <c:pt idx="12">
                  <c:v>ΙΟΥΛ. 2021</c:v>
                </c:pt>
              </c:strCache>
            </c:strRef>
          </c:cat>
          <c:val>
            <c:numRef>
              <c:f>Φύλλο1!$B$2:$B$14</c:f>
              <c:numCache>
                <c:formatCode>General</c:formatCode>
                <c:ptCount val="13"/>
                <c:pt idx="0">
                  <c:v>5.7</c:v>
                </c:pt>
                <c:pt idx="1">
                  <c:v>7.9</c:v>
                </c:pt>
                <c:pt idx="2">
                  <c:v>7.7</c:v>
                </c:pt>
                <c:pt idx="3">
                  <c:v>8.7000000000000011</c:v>
                </c:pt>
                <c:pt idx="4">
                  <c:v>8.6</c:v>
                </c:pt>
                <c:pt idx="5">
                  <c:v>7.9</c:v>
                </c:pt>
                <c:pt idx="6">
                  <c:v>6.5</c:v>
                </c:pt>
                <c:pt idx="7">
                  <c:v>7.2</c:v>
                </c:pt>
                <c:pt idx="8" formatCode="0.0">
                  <c:v>7.6923076923076916</c:v>
                </c:pt>
                <c:pt idx="9">
                  <c:v>8.2000000000000011</c:v>
                </c:pt>
                <c:pt idx="10">
                  <c:v>4.5</c:v>
                </c:pt>
                <c:pt idx="11">
                  <c:v>6.6</c:v>
                </c:pt>
                <c:pt idx="12">
                  <c:v>23.6</c:v>
                </c:pt>
              </c:numCache>
            </c:numRef>
          </c:val>
          <c:smooth val="0"/>
          <c:extLst>
            <c:ext xmlns:c16="http://schemas.microsoft.com/office/drawing/2014/chart" uri="{C3380CC4-5D6E-409C-BE32-E72D297353CC}">
              <c16:uniqueId val="{00000012-33D4-4F26-8875-331F765B9733}"/>
            </c:ext>
          </c:extLst>
        </c:ser>
        <c:ser>
          <c:idx val="1"/>
          <c:order val="1"/>
          <c:tx>
            <c:strRef>
              <c:f>Φύλλο1!$C$1</c:f>
              <c:strCache>
                <c:ptCount val="1"/>
                <c:pt idx="0">
                  <c:v>Αμετάβλητες - μείωση</c:v>
                </c:pt>
              </c:strCache>
            </c:strRef>
          </c:tx>
          <c:spPr>
            <a:ln>
              <a:solidFill>
                <a:schemeClr val="accent2">
                  <a:lumMod val="75000"/>
                </a:schemeClr>
              </a:solidFill>
            </a:ln>
          </c:spPr>
          <c:marker>
            <c:spPr>
              <a:solidFill>
                <a:schemeClr val="accent2">
                  <a:lumMod val="75000"/>
                </a:schemeClr>
              </a:solidFill>
              <a:ln>
                <a:solidFill>
                  <a:schemeClr val="accent2">
                    <a:lumMod val="75000"/>
                  </a:schemeClr>
                </a:solidFill>
              </a:ln>
            </c:spPr>
          </c:marker>
          <c:dLbls>
            <c:spPr>
              <a:noFill/>
              <a:ln>
                <a:noFill/>
              </a:ln>
              <a:effectLst/>
            </c:spPr>
            <c:txPr>
              <a:bodyPr wrap="square" lIns="38100" tIns="19050" rIns="38100" bIns="19050" anchor="ctr">
                <a:spAutoFit/>
              </a:bodyPr>
              <a:lstStyle/>
              <a:p>
                <a:pPr>
                  <a:defRPr sz="9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Φύλλο1!$A$2:$A$14</c:f>
              <c:strCache>
                <c:ptCount val="13"/>
                <c:pt idx="0">
                  <c:v>ΙΟΥΛ. 2015</c:v>
                </c:pt>
                <c:pt idx="1">
                  <c:v>ΦΕΒΡ. 2016</c:v>
                </c:pt>
                <c:pt idx="2">
                  <c:v>ΙΟΥΛ. 2016</c:v>
                </c:pt>
                <c:pt idx="3">
                  <c:v>ΦΕΒΡ. 2017</c:v>
                </c:pt>
                <c:pt idx="4">
                  <c:v>ΙΟΥΛ. 2017</c:v>
                </c:pt>
                <c:pt idx="5">
                  <c:v>ΦΕΒΡ. 2018</c:v>
                </c:pt>
                <c:pt idx="6">
                  <c:v>ΙΟΥΛ. 2018</c:v>
                </c:pt>
                <c:pt idx="7">
                  <c:v>ΦΕΒΡ. 2019</c:v>
                </c:pt>
                <c:pt idx="8">
                  <c:v>ΙΟΥΛ. 2019</c:v>
                </c:pt>
                <c:pt idx="9">
                  <c:v>ΦΕΒΡ. 2020</c:v>
                </c:pt>
                <c:pt idx="10">
                  <c:v>ΙΟΥΛ. 2020</c:v>
                </c:pt>
                <c:pt idx="11">
                  <c:v>ΦΕΒΡ. 2021</c:v>
                </c:pt>
                <c:pt idx="12">
                  <c:v>ΙΟΥΛ. 2021</c:v>
                </c:pt>
              </c:strCache>
            </c:strRef>
          </c:cat>
          <c:val>
            <c:numRef>
              <c:f>Φύλλο1!$C$2:$C$14</c:f>
              <c:numCache>
                <c:formatCode>General</c:formatCode>
                <c:ptCount val="13"/>
                <c:pt idx="0">
                  <c:v>93.5</c:v>
                </c:pt>
                <c:pt idx="1">
                  <c:v>91.2</c:v>
                </c:pt>
                <c:pt idx="2">
                  <c:v>91.7</c:v>
                </c:pt>
                <c:pt idx="3">
                  <c:v>91</c:v>
                </c:pt>
                <c:pt idx="4">
                  <c:v>90.6</c:v>
                </c:pt>
                <c:pt idx="5">
                  <c:v>91.8</c:v>
                </c:pt>
                <c:pt idx="6">
                  <c:v>92.8</c:v>
                </c:pt>
                <c:pt idx="7">
                  <c:v>92.2</c:v>
                </c:pt>
                <c:pt idx="8" formatCode="0.0">
                  <c:v>91.315136476426773</c:v>
                </c:pt>
                <c:pt idx="9">
                  <c:v>90.9</c:v>
                </c:pt>
                <c:pt idx="10">
                  <c:v>94.1</c:v>
                </c:pt>
                <c:pt idx="11">
                  <c:v>93</c:v>
                </c:pt>
                <c:pt idx="12">
                  <c:v>75</c:v>
                </c:pt>
              </c:numCache>
            </c:numRef>
          </c:val>
          <c:smooth val="0"/>
          <c:extLst>
            <c:ext xmlns:c16="http://schemas.microsoft.com/office/drawing/2014/chart" uri="{C3380CC4-5D6E-409C-BE32-E72D297353CC}">
              <c16:uniqueId val="{00000025-33D4-4F26-8875-331F765B9733}"/>
            </c:ext>
          </c:extLst>
        </c:ser>
        <c:dLbls>
          <c:showLegendKey val="0"/>
          <c:showVal val="0"/>
          <c:showCatName val="0"/>
          <c:showSerName val="0"/>
          <c:showPercent val="0"/>
          <c:showBubbleSize val="0"/>
        </c:dLbls>
        <c:marker val="1"/>
        <c:smooth val="0"/>
        <c:axId val="2123089176"/>
        <c:axId val="2123092264"/>
      </c:lineChart>
      <c:catAx>
        <c:axId val="2123089176"/>
        <c:scaling>
          <c:orientation val="minMax"/>
        </c:scaling>
        <c:delete val="0"/>
        <c:axPos val="b"/>
        <c:numFmt formatCode="General" sourceLinked="0"/>
        <c:majorTickMark val="out"/>
        <c:minorTickMark val="none"/>
        <c:tickLblPos val="nextTo"/>
        <c:txPr>
          <a:bodyPr/>
          <a:lstStyle/>
          <a:p>
            <a:pPr>
              <a:defRPr sz="800"/>
            </a:pPr>
            <a:endParaRPr lang="en-US"/>
          </a:p>
        </c:txPr>
        <c:crossAx val="2123092264"/>
        <c:crosses val="autoZero"/>
        <c:auto val="1"/>
        <c:lblAlgn val="ctr"/>
        <c:lblOffset val="100"/>
        <c:noMultiLvlLbl val="0"/>
      </c:catAx>
      <c:valAx>
        <c:axId val="2123092264"/>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sz="900"/>
            </a:pPr>
            <a:endParaRPr lang="en-US"/>
          </a:p>
        </c:txPr>
        <c:crossAx val="2123089176"/>
        <c:crosses val="autoZero"/>
        <c:crossBetween val="between"/>
      </c:valAx>
    </c:plotArea>
    <c:legend>
      <c:legendPos val="r"/>
      <c:layout>
        <c:manualLayout>
          <c:xMode val="edge"/>
          <c:yMode val="edge"/>
          <c:x val="0.18295929365934199"/>
          <c:y val="1.0147093031329799E-2"/>
          <c:w val="0.57459420056064703"/>
          <c:h val="0.16395399934247601"/>
        </c:manualLayout>
      </c:layout>
      <c:overlay val="0"/>
      <c:txPr>
        <a:bodyPr/>
        <a:lstStyle/>
        <a:p>
          <a:pPr>
            <a:defRPr b="1"/>
          </a:pPr>
          <a:endParaRPr lang="en-US"/>
        </a:p>
      </c:txPr>
    </c:legend>
    <c:plotVisOnly val="1"/>
    <c:dispBlanksAs val="gap"/>
    <c:showDLblsOverMax val="0"/>
  </c:chart>
  <c:txPr>
    <a:bodyPr/>
    <a:lstStyle/>
    <a:p>
      <a:pPr>
        <a:defRPr sz="1100">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110878465436"/>
          <c:y val="0.10070921985815599"/>
          <c:w val="0.75728870208384702"/>
          <c:h val="0.84194774855270804"/>
        </c:manualLayout>
      </c:layout>
      <c:barChart>
        <c:barDir val="bar"/>
        <c:grouping val="percentStacked"/>
        <c:varyColors val="0"/>
        <c:ser>
          <c:idx val="0"/>
          <c:order val="0"/>
          <c:tx>
            <c:strRef>
              <c:f>Φύλλο1!$B$1</c:f>
              <c:strCache>
                <c:ptCount val="1"/>
                <c:pt idx="0">
                  <c:v>Αυξήθηκαν </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Φύλλο1!$B$2:$B$26</c:f>
              <c:numCache>
                <c:formatCode>General</c:formatCode>
                <c:ptCount val="25"/>
                <c:pt idx="1">
                  <c:v>35.1</c:v>
                </c:pt>
                <c:pt idx="2">
                  <c:v>29.5</c:v>
                </c:pt>
                <c:pt idx="3">
                  <c:v>8.5</c:v>
                </c:pt>
                <c:pt idx="5">
                  <c:v>25.3</c:v>
                </c:pt>
                <c:pt idx="6">
                  <c:v>24.4</c:v>
                </c:pt>
                <c:pt idx="7">
                  <c:v>27.6</c:v>
                </c:pt>
                <c:pt idx="8">
                  <c:v>22.7</c:v>
                </c:pt>
                <c:pt idx="10">
                  <c:v>13.3</c:v>
                </c:pt>
                <c:pt idx="11">
                  <c:v>26.1</c:v>
                </c:pt>
                <c:pt idx="12">
                  <c:v>30.9</c:v>
                </c:pt>
                <c:pt idx="13">
                  <c:v>40.700000000000003</c:v>
                </c:pt>
                <c:pt idx="15">
                  <c:v>18.600000000000001</c:v>
                </c:pt>
                <c:pt idx="16">
                  <c:v>26.5</c:v>
                </c:pt>
                <c:pt idx="17">
                  <c:v>24.1</c:v>
                </c:pt>
                <c:pt idx="18">
                  <c:v>29.5</c:v>
                </c:pt>
                <c:pt idx="20">
                  <c:v>16.5</c:v>
                </c:pt>
                <c:pt idx="21">
                  <c:v>26.1</c:v>
                </c:pt>
                <c:pt idx="22">
                  <c:v>27.4</c:v>
                </c:pt>
                <c:pt idx="23">
                  <c:v>31.6</c:v>
                </c:pt>
                <c:pt idx="24">
                  <c:v>24.4</c:v>
                </c:pt>
              </c:numCache>
            </c:numRef>
          </c:val>
          <c:extLst>
            <c:ext xmlns:c16="http://schemas.microsoft.com/office/drawing/2014/chart" uri="{C3380CC4-5D6E-409C-BE32-E72D297353CC}">
              <c16:uniqueId val="{00000000-BA33-4DE8-9AB8-E0903114E51E}"/>
            </c:ext>
          </c:extLst>
        </c:ser>
        <c:ser>
          <c:idx val="1"/>
          <c:order val="1"/>
          <c:tx>
            <c:strRef>
              <c:f>Φύλλο1!$C$1</c:f>
              <c:strCache>
                <c:ptCount val="1"/>
                <c:pt idx="0">
                  <c:v>Μειώθηκαν </c:v>
                </c:pt>
              </c:strCache>
            </c:strRef>
          </c:tx>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Φύλλο1!$C$2:$C$26</c:f>
              <c:numCache>
                <c:formatCode>General</c:formatCode>
                <c:ptCount val="25"/>
                <c:pt idx="1">
                  <c:v>15.1</c:v>
                </c:pt>
                <c:pt idx="2">
                  <c:v>14.5</c:v>
                </c:pt>
                <c:pt idx="3">
                  <c:v>19.600000000000001</c:v>
                </c:pt>
                <c:pt idx="5">
                  <c:v>20.2</c:v>
                </c:pt>
                <c:pt idx="6">
                  <c:v>14.4</c:v>
                </c:pt>
                <c:pt idx="7">
                  <c:v>15.8</c:v>
                </c:pt>
                <c:pt idx="8">
                  <c:v>16.600000000000001</c:v>
                </c:pt>
                <c:pt idx="10">
                  <c:v>23.4</c:v>
                </c:pt>
                <c:pt idx="11">
                  <c:v>14.3</c:v>
                </c:pt>
                <c:pt idx="12">
                  <c:v>9.8000000000000007</c:v>
                </c:pt>
                <c:pt idx="13">
                  <c:v>9.7000000000000011</c:v>
                </c:pt>
                <c:pt idx="15">
                  <c:v>18.2</c:v>
                </c:pt>
                <c:pt idx="16">
                  <c:v>19.600000000000001</c:v>
                </c:pt>
                <c:pt idx="17">
                  <c:v>15.7</c:v>
                </c:pt>
                <c:pt idx="18">
                  <c:v>13.7</c:v>
                </c:pt>
                <c:pt idx="20">
                  <c:v>20.9</c:v>
                </c:pt>
                <c:pt idx="21">
                  <c:v>17</c:v>
                </c:pt>
                <c:pt idx="22">
                  <c:v>15.4</c:v>
                </c:pt>
                <c:pt idx="23">
                  <c:v>20.3</c:v>
                </c:pt>
                <c:pt idx="24">
                  <c:v>7.6</c:v>
                </c:pt>
              </c:numCache>
            </c:numRef>
          </c:val>
          <c:extLst>
            <c:ext xmlns:c16="http://schemas.microsoft.com/office/drawing/2014/chart" uri="{C3380CC4-5D6E-409C-BE32-E72D297353CC}">
              <c16:uniqueId val="{00000001-BA33-4DE8-9AB8-E0903114E51E}"/>
            </c:ext>
          </c:extLst>
        </c:ser>
        <c:ser>
          <c:idx val="2"/>
          <c:order val="2"/>
          <c:tx>
            <c:strRef>
              <c:f>Φύλλο1!$D$1</c:f>
              <c:strCache>
                <c:ptCount val="1"/>
                <c:pt idx="0">
                  <c:v>Αμετάβλητες </c:v>
                </c:pt>
              </c:strCache>
            </c:strRef>
          </c:tx>
          <c:spPr>
            <a:solidFill>
              <a:schemeClr val="accent1">
                <a:lumMod val="75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Φύλλο1!$D$2:$D$26</c:f>
              <c:numCache>
                <c:formatCode>General</c:formatCode>
                <c:ptCount val="25"/>
                <c:pt idx="1">
                  <c:v>48.2</c:v>
                </c:pt>
                <c:pt idx="2">
                  <c:v>55.4</c:v>
                </c:pt>
                <c:pt idx="3">
                  <c:v>70.3</c:v>
                </c:pt>
                <c:pt idx="5">
                  <c:v>50.5</c:v>
                </c:pt>
                <c:pt idx="6">
                  <c:v>58.9</c:v>
                </c:pt>
                <c:pt idx="7">
                  <c:v>56.6</c:v>
                </c:pt>
                <c:pt idx="8">
                  <c:v>59.8</c:v>
                </c:pt>
                <c:pt idx="10">
                  <c:v>62.8</c:v>
                </c:pt>
                <c:pt idx="11">
                  <c:v>58</c:v>
                </c:pt>
                <c:pt idx="12">
                  <c:v>56.9</c:v>
                </c:pt>
                <c:pt idx="13">
                  <c:v>49.6</c:v>
                </c:pt>
                <c:pt idx="15">
                  <c:v>62.8</c:v>
                </c:pt>
                <c:pt idx="16">
                  <c:v>52.9</c:v>
                </c:pt>
                <c:pt idx="17">
                  <c:v>57.9</c:v>
                </c:pt>
                <c:pt idx="18">
                  <c:v>54.7</c:v>
                </c:pt>
                <c:pt idx="20">
                  <c:v>61.4</c:v>
                </c:pt>
                <c:pt idx="21">
                  <c:v>55.8</c:v>
                </c:pt>
                <c:pt idx="22">
                  <c:v>55.4</c:v>
                </c:pt>
                <c:pt idx="23">
                  <c:v>45.6</c:v>
                </c:pt>
                <c:pt idx="24">
                  <c:v>67.2</c:v>
                </c:pt>
              </c:numCache>
            </c:numRef>
          </c:val>
          <c:extLst>
            <c:ext xmlns:c16="http://schemas.microsoft.com/office/drawing/2014/chart" uri="{C3380CC4-5D6E-409C-BE32-E72D297353CC}">
              <c16:uniqueId val="{00000002-BA33-4DE8-9AB8-E0903114E51E}"/>
            </c:ext>
          </c:extLst>
        </c:ser>
        <c:dLbls>
          <c:showLegendKey val="0"/>
          <c:showVal val="0"/>
          <c:showCatName val="0"/>
          <c:showSerName val="0"/>
          <c:showPercent val="0"/>
          <c:showBubbleSize val="0"/>
        </c:dLbls>
        <c:gapWidth val="30"/>
        <c:overlap val="100"/>
        <c:axId val="2123147960"/>
        <c:axId val="2123151016"/>
      </c:barChart>
      <c:catAx>
        <c:axId val="2123147960"/>
        <c:scaling>
          <c:orientation val="maxMin"/>
        </c:scaling>
        <c:delete val="0"/>
        <c:axPos val="l"/>
        <c:numFmt formatCode="General" sourceLinked="0"/>
        <c:majorTickMark val="out"/>
        <c:minorTickMark val="none"/>
        <c:tickLblPos val="nextTo"/>
        <c:crossAx val="2123151016"/>
        <c:crosses val="autoZero"/>
        <c:auto val="1"/>
        <c:lblAlgn val="ctr"/>
        <c:lblOffset val="100"/>
        <c:noMultiLvlLbl val="0"/>
      </c:catAx>
      <c:valAx>
        <c:axId val="2123151016"/>
        <c:scaling>
          <c:orientation val="minMax"/>
        </c:scaling>
        <c:delete val="0"/>
        <c:axPos val="b"/>
        <c:majorGridlines/>
        <c:numFmt formatCode="0%" sourceLinked="1"/>
        <c:majorTickMark val="out"/>
        <c:minorTickMark val="none"/>
        <c:tickLblPos val="nextTo"/>
        <c:crossAx val="2123147960"/>
        <c:crosses val="max"/>
        <c:crossBetween val="between"/>
      </c:valAx>
    </c:plotArea>
    <c:legend>
      <c:legendPos val="r"/>
      <c:layout>
        <c:manualLayout>
          <c:xMode val="edge"/>
          <c:yMode val="edge"/>
          <c:x val="0.219953438139912"/>
          <c:y val="1.85910812409879E-3"/>
          <c:w val="0.75819738122190605"/>
          <c:h val="7.5393468103721106E-2"/>
        </c:manualLayout>
      </c:layout>
      <c:overlay val="0"/>
      <c:txPr>
        <a:bodyPr/>
        <a:lstStyle/>
        <a:p>
          <a:pPr>
            <a:defRPr sz="1000"/>
          </a:pPr>
          <a:endParaRPr lang="en-US"/>
        </a:p>
      </c:txPr>
    </c:legend>
    <c:plotVisOnly val="1"/>
    <c:dispBlanksAs val="gap"/>
    <c:showDLblsOverMax val="0"/>
  </c:chart>
  <c:txPr>
    <a:bodyPr/>
    <a:lstStyle/>
    <a:p>
      <a:pPr>
        <a:defRPr sz="8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219048947280101E-2"/>
          <c:y val="4.6907516080302802E-2"/>
          <c:w val="0.95567228148802996"/>
          <c:h val="0.75839100069550902"/>
        </c:manualLayout>
      </c:layout>
      <c:barChart>
        <c:barDir val="col"/>
        <c:grouping val="clustered"/>
        <c:varyColors val="0"/>
        <c:ser>
          <c:idx val="0"/>
          <c:order val="0"/>
          <c:tx>
            <c:strRef>
              <c:f>Φύλλο1!$B$1</c:f>
              <c:strCache>
                <c:ptCount val="1"/>
                <c:pt idx="0">
                  <c:v>Ιούλιος 2021</c:v>
                </c:pt>
              </c:strCache>
            </c:strRef>
          </c:tx>
          <c:spPr>
            <a:solidFill>
              <a:schemeClr val="accent1">
                <a:lumMod val="75000"/>
              </a:schemeClr>
            </a:solidFill>
            <a:ln>
              <a:noFill/>
            </a:ln>
          </c:spPr>
          <c:invertIfNegative val="0"/>
          <c:dPt>
            <c:idx val="0"/>
            <c:invertIfNegative val="0"/>
            <c:bubble3D val="0"/>
            <c:extLst>
              <c:ext xmlns:c16="http://schemas.microsoft.com/office/drawing/2014/chart" uri="{C3380CC4-5D6E-409C-BE32-E72D297353CC}">
                <c16:uniqueId val="{00000000-CE40-4D46-979F-1AE87E7D15C0}"/>
              </c:ext>
            </c:extLst>
          </c:dPt>
          <c:dPt>
            <c:idx val="1"/>
            <c:invertIfNegative val="0"/>
            <c:bubble3D val="0"/>
            <c:extLst>
              <c:ext xmlns:c16="http://schemas.microsoft.com/office/drawing/2014/chart" uri="{C3380CC4-5D6E-409C-BE32-E72D297353CC}">
                <c16:uniqueId val="{00000001-CE40-4D46-979F-1AE87E7D15C0}"/>
              </c:ext>
            </c:extLst>
          </c:dPt>
          <c:dPt>
            <c:idx val="2"/>
            <c:invertIfNegative val="0"/>
            <c:bubble3D val="0"/>
            <c:extLst>
              <c:ext xmlns:c16="http://schemas.microsoft.com/office/drawing/2014/chart" uri="{C3380CC4-5D6E-409C-BE32-E72D297353CC}">
                <c16:uniqueId val="{00000002-CE40-4D46-979F-1AE87E7D15C0}"/>
              </c:ext>
            </c:extLst>
          </c:dPt>
          <c:dPt>
            <c:idx val="3"/>
            <c:invertIfNegative val="0"/>
            <c:bubble3D val="0"/>
            <c:extLst>
              <c:ext xmlns:c16="http://schemas.microsoft.com/office/drawing/2014/chart" uri="{C3380CC4-5D6E-409C-BE32-E72D297353CC}">
                <c16:uniqueId val="{00000003-CE40-4D46-979F-1AE87E7D15C0}"/>
              </c:ext>
            </c:extLst>
          </c:dPt>
          <c:dPt>
            <c:idx val="5"/>
            <c:invertIfNegative val="0"/>
            <c:bubble3D val="0"/>
            <c:extLst>
              <c:ext xmlns:c16="http://schemas.microsoft.com/office/drawing/2014/chart" uri="{C3380CC4-5D6E-409C-BE32-E72D297353CC}">
                <c16:uniqueId val="{00000004-CE40-4D46-979F-1AE87E7D15C0}"/>
              </c:ext>
            </c:extLst>
          </c:dPt>
          <c:dPt>
            <c:idx val="9"/>
            <c:invertIfNegative val="0"/>
            <c:bubble3D val="0"/>
            <c:extLst>
              <c:ext xmlns:c16="http://schemas.microsoft.com/office/drawing/2014/chart" uri="{C3380CC4-5D6E-409C-BE32-E72D297353CC}">
                <c16:uniqueId val="{00000005-CE40-4D46-979F-1AE87E7D15C0}"/>
              </c:ext>
            </c:extLst>
          </c:dPt>
          <c:dLbls>
            <c:dLbl>
              <c:idx val="4"/>
              <c:spPr/>
              <c:txPr>
                <a:bodyPr/>
                <a:lstStyle/>
                <a:p>
                  <a:pPr algn="ctr">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6-6043-4083-BA80-83EB34664BA9}"/>
                </c:ext>
              </c:extLst>
            </c:dLbl>
            <c:dLbl>
              <c:idx val="5"/>
              <c:spPr/>
              <c:txPr>
                <a:bodyPr/>
                <a:lstStyle/>
                <a:p>
                  <a:pPr algn="ctr">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4-CE40-4D46-979F-1AE87E7D15C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Φύλλο1!$A$2:$A$8</c:f>
              <c:strCache>
                <c:ptCount val="7"/>
                <c:pt idx="0">
                  <c:v>Δεν υπάρχουν ταμειακά διαθέσιμα</c:v>
                </c:pt>
                <c:pt idx="1">
                  <c:v>Λιγότερο από μήνα</c:v>
                </c:pt>
                <c:pt idx="2">
                  <c:v>Ένα μήνα</c:v>
                </c:pt>
                <c:pt idx="3">
                  <c:v>Δύο μήνες</c:v>
                </c:pt>
                <c:pt idx="4">
                  <c:v>3-4 μήνες</c:v>
                </c:pt>
                <c:pt idx="5">
                  <c:v>5-6 μήνες</c:v>
                </c:pt>
                <c:pt idx="6">
                  <c:v>Περισσότερο από 6 μήνες</c:v>
                </c:pt>
              </c:strCache>
            </c:strRef>
          </c:cat>
          <c:val>
            <c:numRef>
              <c:f>Φύλλο1!$B$2:$B$8</c:f>
              <c:numCache>
                <c:formatCode>General</c:formatCode>
                <c:ptCount val="7"/>
                <c:pt idx="0">
                  <c:v>21.4</c:v>
                </c:pt>
                <c:pt idx="1">
                  <c:v>7.7</c:v>
                </c:pt>
                <c:pt idx="2">
                  <c:v>13.3</c:v>
                </c:pt>
                <c:pt idx="3">
                  <c:v>12.7</c:v>
                </c:pt>
                <c:pt idx="4">
                  <c:v>11.3</c:v>
                </c:pt>
                <c:pt idx="5">
                  <c:v>13.4</c:v>
                </c:pt>
                <c:pt idx="6">
                  <c:v>9.5</c:v>
                </c:pt>
              </c:numCache>
            </c:numRef>
          </c:val>
          <c:extLst>
            <c:ext xmlns:c16="http://schemas.microsoft.com/office/drawing/2014/chart" uri="{C3380CC4-5D6E-409C-BE32-E72D297353CC}">
              <c16:uniqueId val="{00000007-CE40-4D46-979F-1AE87E7D15C0}"/>
            </c:ext>
          </c:extLst>
        </c:ser>
        <c:ser>
          <c:idx val="1"/>
          <c:order val="1"/>
          <c:tx>
            <c:strRef>
              <c:f>Φύλλο1!$C$1</c:f>
              <c:strCache>
                <c:ptCount val="1"/>
                <c:pt idx="0">
                  <c:v>Φεβρουάριος 2021</c:v>
                </c:pt>
              </c:strCache>
            </c:strRef>
          </c:tx>
          <c:spPr>
            <a:solidFill>
              <a:schemeClr val="accent1">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Φύλλο1!$A$2:$A$8</c:f>
              <c:strCache>
                <c:ptCount val="7"/>
                <c:pt idx="0">
                  <c:v>Δεν υπάρχουν ταμειακά διαθέσιμα</c:v>
                </c:pt>
                <c:pt idx="1">
                  <c:v>Λιγότερο από μήνα</c:v>
                </c:pt>
                <c:pt idx="2">
                  <c:v>Ένα μήνα</c:v>
                </c:pt>
                <c:pt idx="3">
                  <c:v>Δύο μήνες</c:v>
                </c:pt>
                <c:pt idx="4">
                  <c:v>3-4 μήνες</c:v>
                </c:pt>
                <c:pt idx="5">
                  <c:v>5-6 μήνες</c:v>
                </c:pt>
                <c:pt idx="6">
                  <c:v>Περισσότερο από 6 μήνες</c:v>
                </c:pt>
              </c:strCache>
            </c:strRef>
          </c:cat>
          <c:val>
            <c:numRef>
              <c:f>Φύλλο1!$C$2:$C$8</c:f>
              <c:numCache>
                <c:formatCode>General</c:formatCode>
                <c:ptCount val="7"/>
                <c:pt idx="0">
                  <c:v>24.7</c:v>
                </c:pt>
                <c:pt idx="1">
                  <c:v>9.6</c:v>
                </c:pt>
                <c:pt idx="2">
                  <c:v>14.4</c:v>
                </c:pt>
                <c:pt idx="3">
                  <c:v>13.7</c:v>
                </c:pt>
                <c:pt idx="4">
                  <c:v>12.9</c:v>
                </c:pt>
                <c:pt idx="5">
                  <c:v>10.3</c:v>
                </c:pt>
                <c:pt idx="6">
                  <c:v>7.6</c:v>
                </c:pt>
              </c:numCache>
            </c:numRef>
          </c:val>
          <c:extLst>
            <c:ext xmlns:c16="http://schemas.microsoft.com/office/drawing/2014/chart" uri="{C3380CC4-5D6E-409C-BE32-E72D297353CC}">
              <c16:uniqueId val="{00000008-CE40-4D46-979F-1AE87E7D15C0}"/>
            </c:ext>
          </c:extLst>
        </c:ser>
        <c:ser>
          <c:idx val="2"/>
          <c:order val="2"/>
          <c:tx>
            <c:strRef>
              <c:f>Φύλλο1!$D$1</c:f>
              <c:strCache>
                <c:ptCount val="1"/>
                <c:pt idx="0">
                  <c:v>Ιούνιος 2020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Φύλλο1!$A$2:$A$8</c:f>
              <c:strCache>
                <c:ptCount val="7"/>
                <c:pt idx="0">
                  <c:v>Δεν υπάρχουν ταμειακά διαθέσιμα</c:v>
                </c:pt>
                <c:pt idx="1">
                  <c:v>Λιγότερο από μήνα</c:v>
                </c:pt>
                <c:pt idx="2">
                  <c:v>Ένα μήνα</c:v>
                </c:pt>
                <c:pt idx="3">
                  <c:v>Δύο μήνες</c:v>
                </c:pt>
                <c:pt idx="4">
                  <c:v>3-4 μήνες</c:v>
                </c:pt>
                <c:pt idx="5">
                  <c:v>5-6 μήνες</c:v>
                </c:pt>
                <c:pt idx="6">
                  <c:v>Περισσότερο από 6 μήνες</c:v>
                </c:pt>
              </c:strCache>
            </c:strRef>
          </c:cat>
          <c:val>
            <c:numRef>
              <c:f>Φύλλο1!$D$2:$D$8</c:f>
              <c:numCache>
                <c:formatCode>General</c:formatCode>
                <c:ptCount val="7"/>
                <c:pt idx="0">
                  <c:v>14.8</c:v>
                </c:pt>
                <c:pt idx="1">
                  <c:v>10.7</c:v>
                </c:pt>
                <c:pt idx="2">
                  <c:v>15.2</c:v>
                </c:pt>
                <c:pt idx="3">
                  <c:v>13.7</c:v>
                </c:pt>
                <c:pt idx="4">
                  <c:v>14.8</c:v>
                </c:pt>
                <c:pt idx="5">
                  <c:v>9.9</c:v>
                </c:pt>
                <c:pt idx="6">
                  <c:v>10.6</c:v>
                </c:pt>
              </c:numCache>
            </c:numRef>
          </c:val>
          <c:extLst>
            <c:ext xmlns:c16="http://schemas.microsoft.com/office/drawing/2014/chart" uri="{C3380CC4-5D6E-409C-BE32-E72D297353CC}">
              <c16:uniqueId val="{00000007-154E-4918-B2B0-0B3B1759C892}"/>
            </c:ext>
          </c:extLst>
        </c:ser>
        <c:dLbls>
          <c:dLblPos val="outEnd"/>
          <c:showLegendKey val="0"/>
          <c:showVal val="1"/>
          <c:showCatName val="0"/>
          <c:showSerName val="0"/>
          <c:showPercent val="0"/>
          <c:showBubbleSize val="0"/>
        </c:dLbls>
        <c:gapWidth val="72"/>
        <c:overlap val="-10"/>
        <c:axId val="2123217176"/>
        <c:axId val="2123220184"/>
      </c:barChart>
      <c:catAx>
        <c:axId val="2123217176"/>
        <c:scaling>
          <c:orientation val="minMax"/>
        </c:scaling>
        <c:delete val="0"/>
        <c:axPos val="b"/>
        <c:numFmt formatCode="General" sourceLinked="0"/>
        <c:majorTickMark val="out"/>
        <c:minorTickMark val="none"/>
        <c:tickLblPos val="nextTo"/>
        <c:txPr>
          <a:bodyPr/>
          <a:lstStyle/>
          <a:p>
            <a:pPr>
              <a:defRPr sz="700"/>
            </a:pPr>
            <a:endParaRPr lang="en-US"/>
          </a:p>
        </c:txPr>
        <c:crossAx val="2123220184"/>
        <c:crosses val="autoZero"/>
        <c:auto val="1"/>
        <c:lblAlgn val="ctr"/>
        <c:lblOffset val="100"/>
        <c:noMultiLvlLbl val="0"/>
      </c:catAx>
      <c:valAx>
        <c:axId val="2123220184"/>
        <c:scaling>
          <c:orientation val="minMax"/>
          <c:min val="0"/>
        </c:scaling>
        <c:delete val="0"/>
        <c:axPos val="l"/>
        <c:numFmt formatCode="General" sourceLinked="1"/>
        <c:majorTickMark val="out"/>
        <c:minorTickMark val="none"/>
        <c:tickLblPos val="nextTo"/>
        <c:crossAx val="2123217176"/>
        <c:crosses val="autoZero"/>
        <c:crossBetween val="between"/>
      </c:valAx>
    </c:plotArea>
    <c:legend>
      <c:legendPos val="t"/>
      <c:layout>
        <c:manualLayout>
          <c:xMode val="edge"/>
          <c:yMode val="edge"/>
          <c:x val="0.32662374431514801"/>
          <c:y val="9.6640708110057802E-2"/>
          <c:w val="0.51125433344797899"/>
          <c:h val="7.1052895162827701E-2"/>
        </c:manualLayout>
      </c:layout>
      <c:overlay val="0"/>
    </c:legend>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3333333333333"/>
          <c:y val="0.12812499999999999"/>
          <c:w val="0.53749999999999998"/>
          <c:h val="0.80625000000000002"/>
        </c:manualLayout>
      </c:layout>
      <c:doughnutChart>
        <c:varyColors val="1"/>
        <c:ser>
          <c:idx val="0"/>
          <c:order val="0"/>
          <c:tx>
            <c:strRef>
              <c:f>Φύλλο1!$B$1</c:f>
              <c:strCache>
                <c:ptCount val="1"/>
                <c:pt idx="0">
                  <c:v>Column1</c:v>
                </c:pt>
              </c:strCache>
            </c:strRef>
          </c:tx>
          <c:spPr>
            <a:ln>
              <a:noFill/>
            </a:ln>
          </c:spPr>
          <c:dPt>
            <c:idx val="0"/>
            <c:bubble3D val="0"/>
            <c:spPr>
              <a:solidFill>
                <a:schemeClr val="accent3">
                  <a:lumMod val="50000"/>
                </a:schemeClr>
              </a:solidFill>
              <a:ln>
                <a:noFill/>
              </a:ln>
            </c:spPr>
            <c:extLst>
              <c:ext xmlns:c16="http://schemas.microsoft.com/office/drawing/2014/chart" uri="{C3380CC4-5D6E-409C-BE32-E72D297353CC}">
                <c16:uniqueId val="{00000001-7BA7-484B-90F0-F47F0C81ABC8}"/>
              </c:ext>
            </c:extLst>
          </c:dPt>
          <c:dPt>
            <c:idx val="1"/>
            <c:bubble3D val="0"/>
            <c:spPr>
              <a:solidFill>
                <a:schemeClr val="accent2">
                  <a:lumMod val="75000"/>
                </a:schemeClr>
              </a:solidFill>
              <a:ln>
                <a:noFill/>
              </a:ln>
            </c:spPr>
            <c:extLst>
              <c:ext xmlns:c16="http://schemas.microsoft.com/office/drawing/2014/chart" uri="{C3380CC4-5D6E-409C-BE32-E72D297353CC}">
                <c16:uniqueId val="{00000003-7BA7-484B-90F0-F47F0C81ABC8}"/>
              </c:ext>
            </c:extLst>
          </c:dPt>
          <c:dPt>
            <c:idx val="2"/>
            <c:bubble3D val="0"/>
            <c:spPr>
              <a:solidFill>
                <a:schemeClr val="tx1">
                  <a:lumMod val="50000"/>
                  <a:lumOff val="50000"/>
                </a:schemeClr>
              </a:solidFill>
              <a:ln>
                <a:noFill/>
              </a:ln>
            </c:spPr>
            <c:extLst>
              <c:ext xmlns:c16="http://schemas.microsoft.com/office/drawing/2014/chart" uri="{C3380CC4-5D6E-409C-BE32-E72D297353CC}">
                <c16:uniqueId val="{00000005-7BA7-484B-90F0-F47F0C81ABC8}"/>
              </c:ext>
            </c:extLst>
          </c:dPt>
          <c:dPt>
            <c:idx val="3"/>
            <c:bubble3D val="0"/>
            <c:spPr>
              <a:solidFill>
                <a:schemeClr val="accent1">
                  <a:lumMod val="40000"/>
                  <a:lumOff val="60000"/>
                </a:schemeClr>
              </a:solidFill>
              <a:ln>
                <a:noFill/>
              </a:ln>
            </c:spPr>
            <c:extLst>
              <c:ext xmlns:c16="http://schemas.microsoft.com/office/drawing/2014/chart" uri="{C3380CC4-5D6E-409C-BE32-E72D297353CC}">
                <c16:uniqueId val="{00000007-7BA7-484B-90F0-F47F0C81ABC8}"/>
              </c:ext>
            </c:extLst>
          </c:dPt>
          <c:dLbls>
            <c:dLbl>
              <c:idx val="0"/>
              <c:layout>
                <c:manualLayout>
                  <c:x val="0.1"/>
                  <c:y val="-0.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BA7-484B-90F0-F47F0C81ABC8}"/>
                </c:ext>
              </c:extLst>
            </c:dLbl>
            <c:dLbl>
              <c:idx val="1"/>
              <c:layout>
                <c:manualLayout>
                  <c:x val="-0.15625"/>
                  <c:y val="7.812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BA7-484B-90F0-F47F0C81ABC8}"/>
                </c:ext>
              </c:extLst>
            </c:dLbl>
            <c:dLbl>
              <c:idx val="2"/>
              <c:layout>
                <c:manualLayout>
                  <c:x val="0"/>
                  <c:y val="-0.1630187007874019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BA7-484B-90F0-F47F0C81ABC8}"/>
                </c:ext>
              </c:extLst>
            </c:dLbl>
            <c:dLbl>
              <c:idx val="3"/>
              <c:layout>
                <c:manualLayout>
                  <c:x val="-9.1666666666667798E-2"/>
                  <c:y val="-0.1437499999999999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7BA7-484B-90F0-F47F0C81ABC8}"/>
                </c:ext>
              </c:extLst>
            </c:dLbl>
            <c:spPr>
              <a:noFill/>
              <a:ln>
                <a:noFill/>
              </a:ln>
              <a:effectLst/>
            </c:spPr>
            <c:txPr>
              <a:bodyPr wrap="square" lIns="38100" tIns="19050" rIns="38100" bIns="19050" anchor="ctr">
                <a:spAutoFit/>
              </a:bodyPr>
              <a:lstStyle/>
              <a:p>
                <a:pPr>
                  <a:defRPr sz="1000"/>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Φύλλο1!$A$2:$A$4</c:f>
              <c:strCache>
                <c:ptCount val="3"/>
                <c:pt idx="0">
                  <c:v>Ναι</c:v>
                </c:pt>
                <c:pt idx="1">
                  <c:v>Όχι</c:v>
                </c:pt>
                <c:pt idx="2">
                  <c:v>ΔΓ/ΔΑ</c:v>
                </c:pt>
              </c:strCache>
            </c:strRef>
          </c:cat>
          <c:val>
            <c:numRef>
              <c:f>Φύλλο1!$B$2:$B$4</c:f>
              <c:numCache>
                <c:formatCode>General</c:formatCode>
                <c:ptCount val="3"/>
                <c:pt idx="0">
                  <c:v>17.2</c:v>
                </c:pt>
                <c:pt idx="1">
                  <c:v>82.3</c:v>
                </c:pt>
                <c:pt idx="2">
                  <c:v>0.5</c:v>
                </c:pt>
              </c:numCache>
            </c:numRef>
          </c:val>
          <c:extLst>
            <c:ext xmlns:c16="http://schemas.microsoft.com/office/drawing/2014/chart" uri="{C3380CC4-5D6E-409C-BE32-E72D297353CC}">
              <c16:uniqueId val="{00000008-7BA7-484B-90F0-F47F0C81ABC8}"/>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1200">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356044303893799"/>
          <c:y val="3.8742642139546798E-2"/>
          <c:w val="0.59421303975967099"/>
          <c:h val="0.89483427336783605"/>
        </c:manualLayout>
      </c:layout>
      <c:barChart>
        <c:barDir val="bar"/>
        <c:grouping val="clustered"/>
        <c:varyColors val="0"/>
        <c:ser>
          <c:idx val="0"/>
          <c:order val="0"/>
          <c:tx>
            <c:strRef>
              <c:f>Φύλλο1!$B$1</c:f>
              <c:strCache>
                <c:ptCount val="1"/>
                <c:pt idx="0">
                  <c:v>Στήλη1</c:v>
                </c:pt>
              </c:strCache>
            </c:strRef>
          </c:tx>
          <c:spPr>
            <a:solidFill>
              <a:srgbClr val="376092"/>
            </a:solidFill>
          </c:spPr>
          <c:invertIfNegative val="0"/>
          <c:dPt>
            <c:idx val="0"/>
            <c:invertIfNegative val="0"/>
            <c:bubble3D val="0"/>
            <c:extLst>
              <c:ext xmlns:c16="http://schemas.microsoft.com/office/drawing/2014/chart" uri="{C3380CC4-5D6E-409C-BE32-E72D297353CC}">
                <c16:uniqueId val="{00000000-92FC-41D1-9002-019EA7DDACC4}"/>
              </c:ext>
            </c:extLst>
          </c:dPt>
          <c:dPt>
            <c:idx val="1"/>
            <c:invertIfNegative val="0"/>
            <c:bubble3D val="0"/>
            <c:spPr>
              <a:solidFill>
                <a:schemeClr val="accent6">
                  <a:lumMod val="60000"/>
                  <a:lumOff val="40000"/>
                </a:schemeClr>
              </a:solidFill>
            </c:spPr>
            <c:extLst>
              <c:ext xmlns:c16="http://schemas.microsoft.com/office/drawing/2014/chart" uri="{C3380CC4-5D6E-409C-BE32-E72D297353CC}">
                <c16:uniqueId val="{00000002-92FC-41D1-9002-019EA7DDACC4}"/>
              </c:ext>
            </c:extLst>
          </c:dPt>
          <c:dPt>
            <c:idx val="2"/>
            <c:invertIfNegative val="0"/>
            <c:bubble3D val="0"/>
            <c:spPr>
              <a:solidFill>
                <a:schemeClr val="accent2"/>
              </a:solidFill>
            </c:spPr>
            <c:extLst>
              <c:ext xmlns:c16="http://schemas.microsoft.com/office/drawing/2014/chart" uri="{C3380CC4-5D6E-409C-BE32-E72D297353CC}">
                <c16:uniqueId val="{00000004-92FC-41D1-9002-019EA7DDACC4}"/>
              </c:ext>
            </c:extLst>
          </c:dPt>
          <c:dPt>
            <c:idx val="3"/>
            <c:invertIfNegative val="0"/>
            <c:bubble3D val="0"/>
            <c:spPr>
              <a:solidFill>
                <a:srgbClr val="BFBFBF"/>
              </a:solidFill>
            </c:spPr>
            <c:extLst>
              <c:ext xmlns:c16="http://schemas.microsoft.com/office/drawing/2014/chart" uri="{C3380CC4-5D6E-409C-BE32-E72D297353CC}">
                <c16:uniqueId val="{00000006-92FC-41D1-9002-019EA7DDACC4}"/>
              </c:ext>
            </c:extLst>
          </c:dPt>
          <c:dPt>
            <c:idx val="4"/>
            <c:invertIfNegative val="0"/>
            <c:bubble3D val="0"/>
            <c:spPr>
              <a:solidFill>
                <a:schemeClr val="tx1">
                  <a:lumMod val="50000"/>
                  <a:lumOff val="50000"/>
                </a:schemeClr>
              </a:solidFill>
            </c:spPr>
            <c:extLst>
              <c:ext xmlns:c16="http://schemas.microsoft.com/office/drawing/2014/chart" uri="{C3380CC4-5D6E-409C-BE32-E72D297353CC}">
                <c16:uniqueId val="{00000008-92FC-41D1-9002-019EA7DDACC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Φύλλο1!$A$2:$A$5</c:f>
              <c:strCache>
                <c:ptCount val="4"/>
                <c:pt idx="0">
                  <c:v>Έγινε δεκτό</c:v>
                </c:pt>
                <c:pt idx="1">
                  <c:v>Εν μέρει (μικρότερο ποσό, χειρότεροι όροι κλπ)</c:v>
                </c:pt>
                <c:pt idx="2">
                  <c:v>Απορρίφθηκε</c:v>
                </c:pt>
                <c:pt idx="3">
                  <c:v>ΔΓ/ΔΑ</c:v>
                </c:pt>
              </c:strCache>
            </c:strRef>
          </c:cat>
          <c:val>
            <c:numRef>
              <c:f>Φύλλο1!$B$2:$B$5</c:f>
              <c:numCache>
                <c:formatCode>General</c:formatCode>
                <c:ptCount val="4"/>
                <c:pt idx="0">
                  <c:v>47.1</c:v>
                </c:pt>
                <c:pt idx="1">
                  <c:v>4.3</c:v>
                </c:pt>
                <c:pt idx="2">
                  <c:v>46.4</c:v>
                </c:pt>
                <c:pt idx="3">
                  <c:v>2.2000000000000002</c:v>
                </c:pt>
              </c:numCache>
            </c:numRef>
          </c:val>
          <c:extLst>
            <c:ext xmlns:c16="http://schemas.microsoft.com/office/drawing/2014/chart" uri="{C3380CC4-5D6E-409C-BE32-E72D297353CC}">
              <c16:uniqueId val="{00000009-92FC-41D1-9002-019EA7DDACC4}"/>
            </c:ext>
          </c:extLst>
        </c:ser>
        <c:dLbls>
          <c:showLegendKey val="0"/>
          <c:showVal val="0"/>
          <c:showCatName val="0"/>
          <c:showSerName val="0"/>
          <c:showPercent val="0"/>
          <c:showBubbleSize val="0"/>
        </c:dLbls>
        <c:gapWidth val="75"/>
        <c:axId val="2124859768"/>
        <c:axId val="2124862776"/>
      </c:barChart>
      <c:catAx>
        <c:axId val="2124859768"/>
        <c:scaling>
          <c:orientation val="maxMin"/>
        </c:scaling>
        <c:delete val="0"/>
        <c:axPos val="l"/>
        <c:numFmt formatCode="General" sourceLinked="0"/>
        <c:majorTickMark val="out"/>
        <c:minorTickMark val="none"/>
        <c:tickLblPos val="nextTo"/>
        <c:txPr>
          <a:bodyPr/>
          <a:lstStyle/>
          <a:p>
            <a:pPr>
              <a:defRPr sz="900"/>
            </a:pPr>
            <a:endParaRPr lang="en-US"/>
          </a:p>
        </c:txPr>
        <c:crossAx val="2124862776"/>
        <c:crosses val="autoZero"/>
        <c:auto val="1"/>
        <c:lblAlgn val="ctr"/>
        <c:lblOffset val="100"/>
        <c:noMultiLvlLbl val="0"/>
      </c:catAx>
      <c:valAx>
        <c:axId val="2124862776"/>
        <c:scaling>
          <c:orientation val="minMax"/>
          <c:max val="60"/>
          <c:min val="0"/>
        </c:scaling>
        <c:delete val="0"/>
        <c:axPos val="b"/>
        <c:majorGridlines>
          <c:spPr>
            <a:ln>
              <a:solidFill>
                <a:schemeClr val="bg1">
                  <a:lumMod val="85000"/>
                </a:schemeClr>
              </a:solidFill>
            </a:ln>
          </c:spPr>
        </c:majorGridlines>
        <c:numFmt formatCode="General" sourceLinked="1"/>
        <c:majorTickMark val="out"/>
        <c:minorTickMark val="none"/>
        <c:tickLblPos val="nextTo"/>
        <c:crossAx val="2124859768"/>
        <c:crosses val="max"/>
        <c:crossBetween val="between"/>
        <c:majorUnit val="10"/>
      </c:valAx>
    </c:plotArea>
    <c:plotVisOnly val="1"/>
    <c:dispBlanksAs val="gap"/>
    <c:showDLblsOverMax val="0"/>
  </c:chart>
  <c:txPr>
    <a:bodyPr/>
    <a:lstStyle/>
    <a:p>
      <a:pPr>
        <a:defRPr sz="1100"/>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3904270575441"/>
          <c:y val="3.8742642139546798E-2"/>
          <c:w val="0.64455580368746002"/>
          <c:h val="0.89483427336783605"/>
        </c:manualLayout>
      </c:layout>
      <c:barChart>
        <c:barDir val="bar"/>
        <c:grouping val="clustered"/>
        <c:varyColors val="0"/>
        <c:ser>
          <c:idx val="0"/>
          <c:order val="0"/>
          <c:tx>
            <c:strRef>
              <c:f>Φύλλο1!$B$1</c:f>
              <c:strCache>
                <c:ptCount val="1"/>
                <c:pt idx="0">
                  <c:v>Στήλη1</c:v>
                </c:pt>
              </c:strCache>
            </c:strRef>
          </c:tx>
          <c:spPr>
            <a:solidFill>
              <a:srgbClr val="376092"/>
            </a:solidFill>
          </c:spPr>
          <c:invertIfNegative val="0"/>
          <c:dPt>
            <c:idx val="0"/>
            <c:invertIfNegative val="0"/>
            <c:bubble3D val="0"/>
            <c:extLst>
              <c:ext xmlns:c16="http://schemas.microsoft.com/office/drawing/2014/chart" uri="{C3380CC4-5D6E-409C-BE32-E72D297353CC}">
                <c16:uniqueId val="{00000000-E892-49EC-A5BF-3319B0AEF2A9}"/>
              </c:ext>
            </c:extLst>
          </c:dPt>
          <c:dPt>
            <c:idx val="3"/>
            <c:invertIfNegative val="0"/>
            <c:bubble3D val="0"/>
            <c:extLst>
              <c:ext xmlns:c16="http://schemas.microsoft.com/office/drawing/2014/chart" uri="{C3380CC4-5D6E-409C-BE32-E72D297353CC}">
                <c16:uniqueId val="{00000001-E892-49EC-A5BF-3319B0AEF2A9}"/>
              </c:ext>
            </c:extLst>
          </c:dPt>
          <c:dPt>
            <c:idx val="4"/>
            <c:invertIfNegative val="0"/>
            <c:bubble3D val="0"/>
            <c:extLst>
              <c:ext xmlns:c16="http://schemas.microsoft.com/office/drawing/2014/chart" uri="{C3380CC4-5D6E-409C-BE32-E72D297353CC}">
                <c16:uniqueId val="{00000002-E892-49EC-A5BF-3319B0AEF2A9}"/>
              </c:ext>
            </c:extLst>
          </c:dPt>
          <c:dLbls>
            <c:spPr>
              <a:noFill/>
              <a:ln>
                <a:noFill/>
              </a:ln>
              <a:effectLst/>
            </c:spPr>
            <c:txPr>
              <a:bodyPr/>
              <a:lstStyle/>
              <a:p>
                <a:pPr>
                  <a:defRPr sz="1000">
                    <a:latin typeface="Microsoft JhengHei UI" panose="020B0604030504040204" pitchFamily="34" charset="-120"/>
                    <a:ea typeface="Microsoft JhengHei UI" panose="020B0604030504040204" pitchFamily="34" charset="-12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Φύλλο1!$A$2:$A$11</c:f>
              <c:strCache>
                <c:ptCount val="10"/>
                <c:pt idx="0">
                  <c:v>Δεν χρειάστηκα χρηματοδότηση</c:v>
                </c:pt>
                <c:pt idx="1">
                  <c:v>Δεν εμπιστεύομαι τις τράπεζες</c:v>
                </c:pt>
                <c:pt idx="2">
                  <c:v>Δεν πληρούσα τις προϋποθέσεις τραπεζικού δανεισμού</c:v>
                </c:pt>
                <c:pt idx="3">
                  <c:v>Χορηγούν δάνεια πολύ δύσκολα και με αυστηρά κριτήρια</c:v>
                </c:pt>
                <c:pt idx="4">
                  <c:v>Τα επιτόκια είναι πολύ υψηλά</c:v>
                </c:pt>
                <c:pt idx="5">
                  <c:v>Έχω ήδη δάνειο / προηγούμενες οφειλές</c:v>
                </c:pt>
                <c:pt idx="6">
                  <c:v>Φοβάμαι ότι δεν θα μπορώ να ανταπεξέλθω / αποπληρώσω</c:v>
                </c:pt>
                <c:pt idx="7">
                  <c:v>Δεν μου αρέσει να χρωστάω / αποφεύγω τα δάνεια</c:v>
                </c:pt>
                <c:pt idx="8">
                  <c:v>Άλλος λόγος</c:v>
                </c:pt>
                <c:pt idx="9">
                  <c:v>ΔΓ/ΔΑ</c:v>
                </c:pt>
              </c:strCache>
            </c:strRef>
          </c:cat>
          <c:val>
            <c:numRef>
              <c:f>Φύλλο1!$B$2:$B$11</c:f>
              <c:numCache>
                <c:formatCode>General</c:formatCode>
                <c:ptCount val="10"/>
                <c:pt idx="0">
                  <c:v>56.8</c:v>
                </c:pt>
                <c:pt idx="1">
                  <c:v>19.8</c:v>
                </c:pt>
                <c:pt idx="2">
                  <c:v>10.1</c:v>
                </c:pt>
                <c:pt idx="3">
                  <c:v>4.5</c:v>
                </c:pt>
                <c:pt idx="4">
                  <c:v>2.9</c:v>
                </c:pt>
                <c:pt idx="5">
                  <c:v>1.5</c:v>
                </c:pt>
                <c:pt idx="6">
                  <c:v>1.2</c:v>
                </c:pt>
                <c:pt idx="7">
                  <c:v>1.1000000000000001</c:v>
                </c:pt>
                <c:pt idx="8">
                  <c:v>1.2</c:v>
                </c:pt>
                <c:pt idx="9">
                  <c:v>0.9</c:v>
                </c:pt>
              </c:numCache>
            </c:numRef>
          </c:val>
          <c:extLst>
            <c:ext xmlns:c16="http://schemas.microsoft.com/office/drawing/2014/chart" uri="{C3380CC4-5D6E-409C-BE32-E72D297353CC}">
              <c16:uniqueId val="{00000003-E892-49EC-A5BF-3319B0AEF2A9}"/>
            </c:ext>
          </c:extLst>
        </c:ser>
        <c:dLbls>
          <c:showLegendKey val="0"/>
          <c:showVal val="0"/>
          <c:showCatName val="0"/>
          <c:showSerName val="0"/>
          <c:showPercent val="0"/>
          <c:showBubbleSize val="0"/>
        </c:dLbls>
        <c:gapWidth val="75"/>
        <c:axId val="2124911416"/>
        <c:axId val="2124914488"/>
      </c:barChart>
      <c:catAx>
        <c:axId val="2124911416"/>
        <c:scaling>
          <c:orientation val="maxMin"/>
        </c:scaling>
        <c:delete val="0"/>
        <c:axPos val="l"/>
        <c:numFmt formatCode="General" sourceLinked="0"/>
        <c:majorTickMark val="out"/>
        <c:minorTickMark val="none"/>
        <c:tickLblPos val="nextTo"/>
        <c:txPr>
          <a:bodyPr/>
          <a:lstStyle/>
          <a:p>
            <a:pPr>
              <a:defRPr sz="700">
                <a:latin typeface="Microsoft JhengHei UI" panose="020B0604030504040204" pitchFamily="34" charset="-120"/>
                <a:ea typeface="Microsoft JhengHei UI" panose="020B0604030504040204" pitchFamily="34" charset="-120"/>
                <a:cs typeface="Calibri" panose="020F0502020204030204" pitchFamily="34" charset="0"/>
              </a:defRPr>
            </a:pPr>
            <a:endParaRPr lang="en-US"/>
          </a:p>
        </c:txPr>
        <c:crossAx val="2124914488"/>
        <c:crosses val="autoZero"/>
        <c:auto val="1"/>
        <c:lblAlgn val="ctr"/>
        <c:lblOffset val="100"/>
        <c:noMultiLvlLbl val="0"/>
      </c:catAx>
      <c:valAx>
        <c:axId val="2124914488"/>
        <c:scaling>
          <c:orientation val="minMax"/>
          <c:max val="60"/>
          <c:min val="0"/>
        </c:scaling>
        <c:delete val="0"/>
        <c:axPos val="b"/>
        <c:majorGridlines>
          <c:spPr>
            <a:ln>
              <a:solidFill>
                <a:schemeClr val="bg1">
                  <a:lumMod val="85000"/>
                </a:schemeClr>
              </a:solidFill>
            </a:ln>
          </c:spPr>
        </c:majorGridlines>
        <c:numFmt formatCode="General" sourceLinked="1"/>
        <c:majorTickMark val="out"/>
        <c:minorTickMark val="none"/>
        <c:tickLblPos val="nextTo"/>
        <c:txPr>
          <a:bodyPr/>
          <a:lstStyle/>
          <a:p>
            <a:pPr>
              <a:defRPr sz="1100">
                <a:latin typeface="Microsoft JhengHei UI" panose="020B0604030504040204" pitchFamily="34" charset="-120"/>
                <a:ea typeface="Microsoft JhengHei UI" panose="020B0604030504040204" pitchFamily="34" charset="-120"/>
              </a:defRPr>
            </a:pPr>
            <a:endParaRPr lang="en-US"/>
          </a:p>
        </c:txPr>
        <c:crossAx val="2124911416"/>
        <c:crosses val="max"/>
        <c:crossBetween val="between"/>
        <c:majorUnit val="10"/>
      </c:valAx>
    </c:plotArea>
    <c:plotVisOnly val="1"/>
    <c:dispBlanksAs val="gap"/>
    <c:showDLblsOverMax val="0"/>
  </c:chart>
  <c:txPr>
    <a:bodyPr/>
    <a:lstStyle/>
    <a:p>
      <a:pPr>
        <a:defRPr sz="1800"/>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25000000000001"/>
          <c:y val="0.14687500000000001"/>
          <c:w val="0.40908190254726101"/>
          <c:h val="0.71121967868935698"/>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c:ext xmlns:c16="http://schemas.microsoft.com/office/drawing/2014/chart" uri="{C3380CC4-5D6E-409C-BE32-E72D297353CC}">
                <c16:uniqueId val="{00000001-6552-40BF-9EAF-311BF3B45C7B}"/>
              </c:ext>
            </c:extLst>
          </c:dPt>
          <c:dPt>
            <c:idx val="1"/>
            <c:bubble3D val="0"/>
            <c:spPr>
              <a:solidFill>
                <a:schemeClr val="accent3">
                  <a:lumMod val="75000"/>
                </a:schemeClr>
              </a:solidFill>
              <a:ln>
                <a:solidFill>
                  <a:schemeClr val="bg1"/>
                </a:solidFill>
              </a:ln>
            </c:spPr>
            <c:extLst>
              <c:ext xmlns:c16="http://schemas.microsoft.com/office/drawing/2014/chart" uri="{C3380CC4-5D6E-409C-BE32-E72D297353CC}">
                <c16:uniqueId val="{00000003-6552-40BF-9EAF-311BF3B45C7B}"/>
              </c:ext>
            </c:extLst>
          </c:dPt>
          <c:dPt>
            <c:idx val="2"/>
            <c:bubble3D val="0"/>
            <c:spPr>
              <a:solidFill>
                <a:schemeClr val="accent2">
                  <a:lumMod val="60000"/>
                  <a:lumOff val="40000"/>
                </a:schemeClr>
              </a:solidFill>
              <a:ln>
                <a:solidFill>
                  <a:schemeClr val="bg1"/>
                </a:solidFill>
              </a:ln>
            </c:spPr>
            <c:extLst>
              <c:ext xmlns:c16="http://schemas.microsoft.com/office/drawing/2014/chart" uri="{C3380CC4-5D6E-409C-BE32-E72D297353CC}">
                <c16:uniqueId val="{00000005-6552-40BF-9EAF-311BF3B45C7B}"/>
              </c:ext>
            </c:extLst>
          </c:dPt>
          <c:dPt>
            <c:idx val="3"/>
            <c:bubble3D val="0"/>
            <c:spPr>
              <a:solidFill>
                <a:schemeClr val="accent2"/>
              </a:solidFill>
              <a:ln>
                <a:solidFill>
                  <a:schemeClr val="bg1"/>
                </a:solidFill>
              </a:ln>
            </c:spPr>
            <c:extLst>
              <c:ext xmlns:c16="http://schemas.microsoft.com/office/drawing/2014/chart" uri="{C3380CC4-5D6E-409C-BE32-E72D297353CC}">
                <c16:uniqueId val="{00000007-6552-40BF-9EAF-311BF3B45C7B}"/>
              </c:ext>
            </c:extLst>
          </c:dPt>
          <c:dPt>
            <c:idx val="4"/>
            <c:bubble3D val="0"/>
            <c:spPr>
              <a:solidFill>
                <a:schemeClr val="tx1">
                  <a:lumMod val="50000"/>
                  <a:lumOff val="50000"/>
                </a:schemeClr>
              </a:solidFill>
              <a:ln>
                <a:solidFill>
                  <a:schemeClr val="bg1"/>
                </a:solidFill>
              </a:ln>
            </c:spPr>
            <c:extLst>
              <c:ext xmlns:c16="http://schemas.microsoft.com/office/drawing/2014/chart" uri="{C3380CC4-5D6E-409C-BE32-E72D297353CC}">
                <c16:uniqueId val="{00000009-6552-40BF-9EAF-311BF3B45C7B}"/>
              </c:ext>
            </c:extLst>
          </c:dPt>
          <c:dLbls>
            <c:dLbl>
              <c:idx val="0"/>
              <c:layout>
                <c:manualLayout>
                  <c:x val="5.79730691483685E-2"/>
                  <c:y val="-0.12160982852948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552-40BF-9EAF-311BF3B45C7B}"/>
                </c:ext>
              </c:extLst>
            </c:dLbl>
            <c:dLbl>
              <c:idx val="1"/>
              <c:layout>
                <c:manualLayout>
                  <c:x val="0.15092949829367999"/>
                  <c:y val="-1.349084141315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552-40BF-9EAF-311BF3B45C7B}"/>
                </c:ext>
              </c:extLst>
            </c:dLbl>
            <c:dLbl>
              <c:idx val="2"/>
              <c:layout>
                <c:manualLayout>
                  <c:x val="0.14026654165249899"/>
                  <c:y val="4.656957598471209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552-40BF-9EAF-311BF3B45C7B}"/>
                </c:ext>
              </c:extLst>
            </c:dLbl>
            <c:dLbl>
              <c:idx val="3"/>
              <c:layout>
                <c:manualLayout>
                  <c:x val="-0.165286866368581"/>
                  <c:y val="-2.783010358496430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6552-40BF-9EAF-311BF3B45C7B}"/>
                </c:ext>
              </c:extLst>
            </c:dLbl>
            <c:dLbl>
              <c:idx val="4"/>
              <c:layout>
                <c:manualLayout>
                  <c:x val="-1.25000236811644E-2"/>
                  <c:y val="-0.1411768807620459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6552-40BF-9EAF-311BF3B45C7B}"/>
                </c:ext>
              </c:extLst>
            </c:dLbl>
            <c:spPr>
              <a:noFill/>
              <a:ln>
                <a:noFill/>
              </a:ln>
              <a:effectLst/>
            </c:spPr>
            <c:txPr>
              <a:bodyPr wrap="square" lIns="38100" tIns="19050" rIns="38100" bIns="19050" anchor="ctr">
                <a:spAutoFit/>
              </a:bodyPr>
              <a:lstStyle/>
              <a:p>
                <a:pPr>
                  <a:defRPr sz="1000"/>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Φύλλο1!$A$2:$A$6</c:f>
              <c:strCache>
                <c:ptCount val="5"/>
                <c:pt idx="0">
                  <c:v>Ναι</c:v>
                </c:pt>
                <c:pt idx="1">
                  <c:v>Μάλλον ναι</c:v>
                </c:pt>
                <c:pt idx="2">
                  <c:v>Μάλλον όχι</c:v>
                </c:pt>
                <c:pt idx="3">
                  <c:v>Όχι</c:v>
                </c:pt>
                <c:pt idx="4">
                  <c:v>ΔΞ/ΔΑ</c:v>
                </c:pt>
              </c:strCache>
            </c:strRef>
          </c:cat>
          <c:val>
            <c:numRef>
              <c:f>Φύλλο1!$B$2:$B$6</c:f>
              <c:numCache>
                <c:formatCode>General</c:formatCode>
                <c:ptCount val="5"/>
                <c:pt idx="0">
                  <c:v>14.1</c:v>
                </c:pt>
                <c:pt idx="1">
                  <c:v>9.3000000000000007</c:v>
                </c:pt>
                <c:pt idx="2">
                  <c:v>10.1</c:v>
                </c:pt>
                <c:pt idx="3">
                  <c:v>51.1</c:v>
                </c:pt>
                <c:pt idx="4">
                  <c:v>15.4</c:v>
                </c:pt>
              </c:numCache>
            </c:numRef>
          </c:val>
          <c:extLst>
            <c:ext xmlns:c16="http://schemas.microsoft.com/office/drawing/2014/chart" uri="{C3380CC4-5D6E-409C-BE32-E72D297353CC}">
              <c16:uniqueId val="{0000000A-6552-40BF-9EAF-311BF3B45C7B}"/>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12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086545939340098E-2"/>
          <c:y val="9.4591703352405299E-2"/>
          <c:w val="0.94419215768381004"/>
          <c:h val="0.70275186189961603"/>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Φύλλο1!$A$2:$A$25</c:f>
              <c:strCache>
                <c:ptCount val="24"/>
                <c:pt idx="0">
                  <c:v>B2009</c:v>
                </c:pt>
                <c:pt idx="1">
                  <c:v>Α2010</c:v>
                </c:pt>
                <c:pt idx="2">
                  <c:v>Β2010</c:v>
                </c:pt>
                <c:pt idx="3">
                  <c:v>Α2011</c:v>
                </c:pt>
                <c:pt idx="4">
                  <c:v>Β2011</c:v>
                </c:pt>
                <c:pt idx="5">
                  <c:v>Α2012</c:v>
                </c:pt>
                <c:pt idx="6">
                  <c:v>Β2012</c:v>
                </c:pt>
                <c:pt idx="7">
                  <c:v>Α2013</c:v>
                </c:pt>
                <c:pt idx="8">
                  <c:v>Β2013</c:v>
                </c:pt>
                <c:pt idx="9">
                  <c:v>Α2014</c:v>
                </c:pt>
                <c:pt idx="10">
                  <c:v>Β2014</c:v>
                </c:pt>
                <c:pt idx="11">
                  <c:v>Α2015</c:v>
                </c:pt>
                <c:pt idx="12">
                  <c:v>Β2015</c:v>
                </c:pt>
                <c:pt idx="13">
                  <c:v>Α2016</c:v>
                </c:pt>
                <c:pt idx="14">
                  <c:v>Β2016</c:v>
                </c:pt>
                <c:pt idx="15">
                  <c:v>Α2017</c:v>
                </c:pt>
                <c:pt idx="16">
                  <c:v>Β2017</c:v>
                </c:pt>
                <c:pt idx="17">
                  <c:v>Α2018</c:v>
                </c:pt>
                <c:pt idx="18">
                  <c:v>Β2018</c:v>
                </c:pt>
                <c:pt idx="19">
                  <c:v>Α2019</c:v>
                </c:pt>
                <c:pt idx="20">
                  <c:v>Β2019</c:v>
                </c:pt>
                <c:pt idx="21">
                  <c:v>Α2020</c:v>
                </c:pt>
                <c:pt idx="22">
                  <c:v>Β2020</c:v>
                </c:pt>
                <c:pt idx="23">
                  <c:v>A2021</c:v>
                </c:pt>
              </c:strCache>
            </c:strRef>
          </c:cat>
          <c:val>
            <c:numRef>
              <c:f>Φύλλο1!$B$2:$B$25</c:f>
              <c:numCache>
                <c:formatCode>General</c:formatCode>
                <c:ptCount val="24"/>
                <c:pt idx="0">
                  <c:v>4.9000000000000004</c:v>
                </c:pt>
                <c:pt idx="1">
                  <c:v>3.7</c:v>
                </c:pt>
                <c:pt idx="2">
                  <c:v>3.8</c:v>
                </c:pt>
                <c:pt idx="3">
                  <c:v>4.5999999999999996</c:v>
                </c:pt>
                <c:pt idx="4">
                  <c:v>5.8</c:v>
                </c:pt>
                <c:pt idx="5">
                  <c:v>6.9</c:v>
                </c:pt>
                <c:pt idx="6">
                  <c:v>5.7</c:v>
                </c:pt>
                <c:pt idx="7">
                  <c:v>6.9</c:v>
                </c:pt>
                <c:pt idx="8">
                  <c:v>6.2</c:v>
                </c:pt>
                <c:pt idx="9">
                  <c:v>8.7000000000000011</c:v>
                </c:pt>
                <c:pt idx="10">
                  <c:v>12.1</c:v>
                </c:pt>
                <c:pt idx="11">
                  <c:v>4.9000000000000004</c:v>
                </c:pt>
                <c:pt idx="12">
                  <c:v>6.8</c:v>
                </c:pt>
                <c:pt idx="13">
                  <c:v>9.1</c:v>
                </c:pt>
                <c:pt idx="14">
                  <c:v>7.7</c:v>
                </c:pt>
                <c:pt idx="15">
                  <c:v>8.2000000000000011</c:v>
                </c:pt>
                <c:pt idx="16">
                  <c:v>11.1</c:v>
                </c:pt>
                <c:pt idx="17">
                  <c:v>15.1</c:v>
                </c:pt>
                <c:pt idx="18">
                  <c:v>13</c:v>
                </c:pt>
                <c:pt idx="19" formatCode="0.0">
                  <c:v>14.88833746898263</c:v>
                </c:pt>
                <c:pt idx="20">
                  <c:v>16.2</c:v>
                </c:pt>
                <c:pt idx="21">
                  <c:v>8.7000000000000011</c:v>
                </c:pt>
                <c:pt idx="22">
                  <c:v>10.5</c:v>
                </c:pt>
                <c:pt idx="23">
                  <c:v>11.3</c:v>
                </c:pt>
              </c:numCache>
            </c:numRef>
          </c:val>
          <c:smooth val="0"/>
          <c:extLst>
            <c:ext xmlns:c16="http://schemas.microsoft.com/office/drawing/2014/chart" uri="{C3380CC4-5D6E-409C-BE32-E72D297353CC}">
              <c16:uniqueId val="{00000012-3170-4529-8CBE-17860096F5C8}"/>
            </c:ext>
          </c:extLst>
        </c:ser>
        <c:dLbls>
          <c:showLegendKey val="0"/>
          <c:showVal val="0"/>
          <c:showCatName val="0"/>
          <c:showSerName val="0"/>
          <c:showPercent val="0"/>
          <c:showBubbleSize val="0"/>
        </c:dLbls>
        <c:marker val="1"/>
        <c:smooth val="0"/>
        <c:axId val="2123262056"/>
        <c:axId val="2123265144"/>
      </c:lineChart>
      <c:catAx>
        <c:axId val="2123262056"/>
        <c:scaling>
          <c:orientation val="minMax"/>
        </c:scaling>
        <c:delete val="0"/>
        <c:axPos val="b"/>
        <c:numFmt formatCode="General" sourceLinked="0"/>
        <c:majorTickMark val="out"/>
        <c:minorTickMark val="none"/>
        <c:tickLblPos val="nextTo"/>
        <c:txPr>
          <a:bodyPr/>
          <a:lstStyle/>
          <a:p>
            <a:pPr>
              <a:defRPr sz="800"/>
            </a:pPr>
            <a:endParaRPr lang="en-US"/>
          </a:p>
        </c:txPr>
        <c:crossAx val="2123265144"/>
        <c:crosses val="autoZero"/>
        <c:auto val="1"/>
        <c:lblAlgn val="ctr"/>
        <c:lblOffset val="100"/>
        <c:noMultiLvlLbl val="0"/>
      </c:catAx>
      <c:valAx>
        <c:axId val="2123265144"/>
        <c:scaling>
          <c:orientation val="minMax"/>
          <c:max val="20"/>
        </c:scaling>
        <c:delete val="0"/>
        <c:axPos val="l"/>
        <c:majorGridlines/>
        <c:numFmt formatCode="General" sourceLinked="1"/>
        <c:majorTickMark val="out"/>
        <c:minorTickMark val="none"/>
        <c:tickLblPos val="nextTo"/>
        <c:crossAx val="2123262056"/>
        <c:crosses val="autoZero"/>
        <c:crossBetween val="between"/>
      </c:valAx>
    </c:plotArea>
    <c:plotVisOnly val="1"/>
    <c:dispBlanksAs val="gap"/>
    <c:showDLblsOverMax val="0"/>
  </c:chart>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1878758956749"/>
          <c:y val="0.14493626852107699"/>
          <c:w val="0.566753406442144"/>
          <c:h val="0.74046416779767099"/>
        </c:manualLayout>
      </c:layout>
      <c:doughnutChart>
        <c:varyColors val="1"/>
        <c:ser>
          <c:idx val="0"/>
          <c:order val="0"/>
          <c:spPr>
            <a:ln w="12700">
              <a:solidFill>
                <a:schemeClr val="bg1"/>
              </a:solidFill>
            </a:ln>
            <a:effectLst/>
          </c:spPr>
          <c:dPt>
            <c:idx val="0"/>
            <c:bubble3D val="0"/>
            <c:spPr>
              <a:solidFill>
                <a:schemeClr val="accent3"/>
              </a:solidFill>
              <a:ln w="12700">
                <a:solidFill>
                  <a:schemeClr val="bg1"/>
                </a:solidFill>
              </a:ln>
              <a:effectLst/>
            </c:spPr>
            <c:extLst>
              <c:ext xmlns:c16="http://schemas.microsoft.com/office/drawing/2014/chart" uri="{C3380CC4-5D6E-409C-BE32-E72D297353CC}">
                <c16:uniqueId val="{00000001-01EC-4577-8B74-89BDDB750056}"/>
              </c:ext>
            </c:extLst>
          </c:dPt>
          <c:dPt>
            <c:idx val="1"/>
            <c:bubble3D val="0"/>
            <c:spPr>
              <a:solidFill>
                <a:schemeClr val="accent2"/>
              </a:solidFill>
              <a:ln w="12700">
                <a:solidFill>
                  <a:schemeClr val="bg1"/>
                </a:solidFill>
              </a:ln>
              <a:effectLst/>
            </c:spPr>
            <c:extLst>
              <c:ext xmlns:c16="http://schemas.microsoft.com/office/drawing/2014/chart" uri="{C3380CC4-5D6E-409C-BE32-E72D297353CC}">
                <c16:uniqueId val="{00000003-01EC-4577-8B74-89BDDB750056}"/>
              </c:ext>
            </c:extLst>
          </c:dPt>
          <c:dPt>
            <c:idx val="2"/>
            <c:bubble3D val="0"/>
            <c:spPr>
              <a:solidFill>
                <a:srgbClr val="4F81BD"/>
              </a:solidFill>
              <a:ln w="12700">
                <a:solidFill>
                  <a:schemeClr val="bg1"/>
                </a:solidFill>
              </a:ln>
              <a:effectLst/>
            </c:spPr>
            <c:extLst>
              <c:ext xmlns:c16="http://schemas.microsoft.com/office/drawing/2014/chart" uri="{C3380CC4-5D6E-409C-BE32-E72D297353CC}">
                <c16:uniqueId val="{00000005-01EC-4577-8B74-89BDDB750056}"/>
              </c:ext>
            </c:extLst>
          </c:dPt>
          <c:dPt>
            <c:idx val="3"/>
            <c:bubble3D val="0"/>
            <c:spPr>
              <a:solidFill>
                <a:schemeClr val="bg1">
                  <a:lumMod val="65000"/>
                </a:schemeClr>
              </a:solidFill>
              <a:ln w="12700">
                <a:solidFill>
                  <a:schemeClr val="bg1"/>
                </a:solidFill>
              </a:ln>
              <a:effectLst/>
            </c:spPr>
            <c:extLst>
              <c:ext xmlns:c16="http://schemas.microsoft.com/office/drawing/2014/chart" uri="{C3380CC4-5D6E-409C-BE32-E72D297353CC}">
                <c16:uniqueId val="{00000007-01EC-4577-8B74-89BDDB750056}"/>
              </c:ext>
            </c:extLst>
          </c:dPt>
          <c:dLbls>
            <c:dLbl>
              <c:idx val="0"/>
              <c:layout>
                <c:manualLayout>
                  <c:x val="3.9116831013611401E-2"/>
                  <c:y val="-0.154758042044584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EC-4577-8B74-89BDDB750056}"/>
                </c:ext>
              </c:extLst>
            </c:dLbl>
            <c:dLbl>
              <c:idx val="1"/>
              <c:layout>
                <c:manualLayout>
                  <c:x val="0.14877220428541199"/>
                  <c:y val="0.114389984959745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EC-4577-8B74-89BDDB750056}"/>
                </c:ext>
              </c:extLst>
            </c:dLbl>
            <c:dLbl>
              <c:idx val="2"/>
              <c:layout>
                <c:manualLayout>
                  <c:x val="-0.10842791675859199"/>
                  <c:y val="-0.147346576154970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1EC-4577-8B74-89BDDB750056}"/>
                </c:ext>
              </c:extLst>
            </c:dLbl>
            <c:dLbl>
              <c:idx val="3"/>
              <c:layout>
                <c:manualLayout>
                  <c:x val="-2.47701930709774E-2"/>
                  <c:y val="-0.1554374950061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1EC-4577-8B74-89BDDB75005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Sheet1!$B$1:$E$1</c:f>
              <c:strCache>
                <c:ptCount val="4"/>
                <c:pt idx="0">
                  <c:v>Βελτιώθηκε</c:v>
                </c:pt>
                <c:pt idx="1">
                  <c:v>Επιδεινώθηκε</c:v>
                </c:pt>
                <c:pt idx="2">
                  <c:v>Παρέμεινε αμετάβλητη</c:v>
                </c:pt>
                <c:pt idx="3">
                  <c:v>ΔΑ</c:v>
                </c:pt>
              </c:strCache>
            </c:strRef>
          </c:cat>
          <c:val>
            <c:numRef>
              <c:f>Sheet1!$B$2:$E$2</c:f>
              <c:numCache>
                <c:formatCode>General</c:formatCode>
                <c:ptCount val="4"/>
                <c:pt idx="0">
                  <c:v>20.100000000000001</c:v>
                </c:pt>
                <c:pt idx="1">
                  <c:v>53.4</c:v>
                </c:pt>
                <c:pt idx="2">
                  <c:v>25.9</c:v>
                </c:pt>
                <c:pt idx="3">
                  <c:v>0.6</c:v>
                </c:pt>
              </c:numCache>
            </c:numRef>
          </c:val>
          <c:extLst>
            <c:ext xmlns:c16="http://schemas.microsoft.com/office/drawing/2014/chart" uri="{C3380CC4-5D6E-409C-BE32-E72D297353CC}">
              <c16:uniqueId val="{00000008-01EC-4577-8B74-89BDDB750056}"/>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zero"/>
    <c:showDLblsOverMax val="0"/>
  </c:chart>
  <c:spPr>
    <a:no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110878465436"/>
          <c:y val="8.6085606919061294E-2"/>
          <c:w val="0.75728870208384702"/>
          <c:h val="0.85424378456382999"/>
        </c:manualLayout>
      </c:layout>
      <c:barChart>
        <c:barDir val="bar"/>
        <c:grouping val="percentStacked"/>
        <c:varyColors val="0"/>
        <c:ser>
          <c:idx val="0"/>
          <c:order val="0"/>
          <c:tx>
            <c:strRef>
              <c:f>Φύλλο1!$B$1</c:f>
              <c:strCache>
                <c:ptCount val="1"/>
                <c:pt idx="0">
                  <c:v>Αυξήθηκε </c:v>
                </c:pt>
              </c:strCache>
            </c:strRef>
          </c:tx>
          <c:spPr>
            <a:solidFill>
              <a:schemeClr val="accent3">
                <a:lumMod val="75000"/>
              </a:schemeClr>
            </a:solidFill>
          </c:spPr>
          <c:invertIfNegative val="0"/>
          <c:dLbls>
            <c:dLbl>
              <c:idx val="20"/>
              <c:layout>
                <c:manualLayout>
                  <c:x val="-1.21444102339702E-2"/>
                  <c:y val="-2.24952968727303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33-46E5-9A17-E8ACAAC9DBE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Φύλλο1!$A$2:$A$15</c:f>
              <c:strCache>
                <c:ptCount val="14"/>
                <c:pt idx="0">
                  <c:v>ΚΛΑΔΟΣ</c:v>
                </c:pt>
                <c:pt idx="1">
                  <c:v>Εμπόριο</c:v>
                </c:pt>
                <c:pt idx="2">
                  <c:v>Μεταποίηση- βιοτεχνία</c:v>
                </c:pt>
                <c:pt idx="3">
                  <c:v>Υπηρεσίες</c:v>
                </c:pt>
                <c:pt idx="4">
                  <c:v>ΕΤΗΣΙΟΣ ΤΖΙΡΟΣ</c:v>
                </c:pt>
                <c:pt idx="5">
                  <c:v>Έως 50.000</c:v>
                </c:pt>
                <c:pt idx="6">
                  <c:v>50.000-100.000</c:v>
                </c:pt>
                <c:pt idx="7">
                  <c:v>100.000- 300.000</c:v>
                </c:pt>
                <c:pt idx="8">
                  <c:v>Πάνω από 300.000</c:v>
                </c:pt>
                <c:pt idx="9">
                  <c:v>ΠΕΡΙΟΧΗ</c:v>
                </c:pt>
                <c:pt idx="10">
                  <c:v>EL1_ATTIKH</c:v>
                </c:pt>
                <c:pt idx="11">
                  <c:v>EL2_ΝΗΣΙΑ ΑΙΓΑΙΟΥ &amp; ΚΡΗΤΗ</c:v>
                </c:pt>
                <c:pt idx="12">
                  <c:v>EL3_ΒΟΡΕΙΑ ΕΛΛΑΔΑ</c:v>
                </c:pt>
                <c:pt idx="13">
                  <c:v>EL4_ΚΕΝΤΡΙΚΗ ΕΛΛΑΔΑ</c:v>
                </c:pt>
              </c:strCache>
            </c:strRef>
          </c:cat>
          <c:val>
            <c:numRef>
              <c:f>Φύλλο1!$B$2:$B$15</c:f>
              <c:numCache>
                <c:formatCode>General</c:formatCode>
                <c:ptCount val="14"/>
                <c:pt idx="1">
                  <c:v>7.1999999999999984</c:v>
                </c:pt>
                <c:pt idx="2">
                  <c:v>7.3000000000000007</c:v>
                </c:pt>
                <c:pt idx="3">
                  <c:v>8.8000000000000007</c:v>
                </c:pt>
                <c:pt idx="5">
                  <c:v>2.1</c:v>
                </c:pt>
                <c:pt idx="6">
                  <c:v>5.0999999999999996</c:v>
                </c:pt>
                <c:pt idx="7">
                  <c:v>9.8000000000000025</c:v>
                </c:pt>
                <c:pt idx="8">
                  <c:v>25.6</c:v>
                </c:pt>
                <c:pt idx="10">
                  <c:v>7.8</c:v>
                </c:pt>
                <c:pt idx="11">
                  <c:v>8.8000000000000007</c:v>
                </c:pt>
                <c:pt idx="12">
                  <c:v>6.4</c:v>
                </c:pt>
                <c:pt idx="13">
                  <c:v>8.9</c:v>
                </c:pt>
              </c:numCache>
            </c:numRef>
          </c:val>
          <c:extLst>
            <c:ext xmlns:c16="http://schemas.microsoft.com/office/drawing/2014/chart" uri="{C3380CC4-5D6E-409C-BE32-E72D297353CC}">
              <c16:uniqueId val="{00000001-2B33-46E5-9A17-E8ACAAC9DBEF}"/>
            </c:ext>
          </c:extLst>
        </c:ser>
        <c:ser>
          <c:idx val="1"/>
          <c:order val="1"/>
          <c:tx>
            <c:strRef>
              <c:f>Φύλλο1!$C$1</c:f>
              <c:strCache>
                <c:ptCount val="1"/>
                <c:pt idx="0">
                  <c:v>Μειώθηκε</c:v>
                </c:pt>
              </c:strCache>
            </c:strRef>
          </c:tx>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Φύλλο1!$A$2:$A$15</c:f>
              <c:strCache>
                <c:ptCount val="14"/>
                <c:pt idx="0">
                  <c:v>ΚΛΑΔΟΣ</c:v>
                </c:pt>
                <c:pt idx="1">
                  <c:v>Εμπόριο</c:v>
                </c:pt>
                <c:pt idx="2">
                  <c:v>Μεταποίηση- βιοτεχνία</c:v>
                </c:pt>
                <c:pt idx="3">
                  <c:v>Υπηρεσίες</c:v>
                </c:pt>
                <c:pt idx="4">
                  <c:v>ΕΤΗΣΙΟΣ ΤΖΙΡΟΣ</c:v>
                </c:pt>
                <c:pt idx="5">
                  <c:v>Έως 50.000</c:v>
                </c:pt>
                <c:pt idx="6">
                  <c:v>50.000-100.000</c:v>
                </c:pt>
                <c:pt idx="7">
                  <c:v>100.000- 300.000</c:v>
                </c:pt>
                <c:pt idx="8">
                  <c:v>Πάνω από 300.000</c:v>
                </c:pt>
                <c:pt idx="9">
                  <c:v>ΠΕΡΙΟΧΗ</c:v>
                </c:pt>
                <c:pt idx="10">
                  <c:v>EL1_ATTIKH</c:v>
                </c:pt>
                <c:pt idx="11">
                  <c:v>EL2_ΝΗΣΙΑ ΑΙΓΑΙΟΥ &amp; ΚΡΗΤΗ</c:v>
                </c:pt>
                <c:pt idx="12">
                  <c:v>EL3_ΒΟΡΕΙΑ ΕΛΛΑΔΑ</c:v>
                </c:pt>
                <c:pt idx="13">
                  <c:v>EL4_ΚΕΝΤΡΙΚΗ ΕΛΛΑΔΑ</c:v>
                </c:pt>
              </c:strCache>
            </c:strRef>
          </c:cat>
          <c:val>
            <c:numRef>
              <c:f>Φύλλο1!$C$2:$C$15</c:f>
              <c:numCache>
                <c:formatCode>General</c:formatCode>
                <c:ptCount val="14"/>
                <c:pt idx="1">
                  <c:v>4.8999999999999986</c:v>
                </c:pt>
                <c:pt idx="2">
                  <c:v>4.5999999999999996</c:v>
                </c:pt>
                <c:pt idx="3">
                  <c:v>6.9</c:v>
                </c:pt>
                <c:pt idx="5">
                  <c:v>6.5</c:v>
                </c:pt>
                <c:pt idx="6">
                  <c:v>2.5</c:v>
                </c:pt>
                <c:pt idx="7">
                  <c:v>4</c:v>
                </c:pt>
                <c:pt idx="8">
                  <c:v>4.5</c:v>
                </c:pt>
                <c:pt idx="10">
                  <c:v>4.3999999999999986</c:v>
                </c:pt>
                <c:pt idx="11">
                  <c:v>6.9</c:v>
                </c:pt>
                <c:pt idx="12">
                  <c:v>5.0999999999999996</c:v>
                </c:pt>
                <c:pt idx="13">
                  <c:v>7.4</c:v>
                </c:pt>
              </c:numCache>
            </c:numRef>
          </c:val>
          <c:extLst>
            <c:ext xmlns:c16="http://schemas.microsoft.com/office/drawing/2014/chart" uri="{C3380CC4-5D6E-409C-BE32-E72D297353CC}">
              <c16:uniqueId val="{00000002-2B33-46E5-9A17-E8ACAAC9DBEF}"/>
            </c:ext>
          </c:extLst>
        </c:ser>
        <c:ser>
          <c:idx val="2"/>
          <c:order val="2"/>
          <c:tx>
            <c:strRef>
              <c:f>Φύλλο1!$D$1</c:f>
              <c:strCache>
                <c:ptCount val="1"/>
                <c:pt idx="0">
                  <c:v>Παρέμεινε σταθερό</c:v>
                </c:pt>
              </c:strCache>
            </c:strRef>
          </c:tx>
          <c:spPr>
            <a:solidFill>
              <a:schemeClr val="accent1">
                <a:lumMod val="75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Φύλλο1!$A$2:$A$15</c:f>
              <c:strCache>
                <c:ptCount val="14"/>
                <c:pt idx="0">
                  <c:v>ΚΛΑΔΟΣ</c:v>
                </c:pt>
                <c:pt idx="1">
                  <c:v>Εμπόριο</c:v>
                </c:pt>
                <c:pt idx="2">
                  <c:v>Μεταποίηση- βιοτεχνία</c:v>
                </c:pt>
                <c:pt idx="3">
                  <c:v>Υπηρεσίες</c:v>
                </c:pt>
                <c:pt idx="4">
                  <c:v>ΕΤΗΣΙΟΣ ΤΖΙΡΟΣ</c:v>
                </c:pt>
                <c:pt idx="5">
                  <c:v>Έως 50.000</c:v>
                </c:pt>
                <c:pt idx="6">
                  <c:v>50.000-100.000</c:v>
                </c:pt>
                <c:pt idx="7">
                  <c:v>100.000- 300.000</c:v>
                </c:pt>
                <c:pt idx="8">
                  <c:v>Πάνω από 300.000</c:v>
                </c:pt>
                <c:pt idx="9">
                  <c:v>ΠΕΡΙΟΧΗ</c:v>
                </c:pt>
                <c:pt idx="10">
                  <c:v>EL1_ATTIKH</c:v>
                </c:pt>
                <c:pt idx="11">
                  <c:v>EL2_ΝΗΣΙΑ ΑΙΓΑΙΟΥ &amp; ΚΡΗΤΗ</c:v>
                </c:pt>
                <c:pt idx="12">
                  <c:v>EL3_ΒΟΡΕΙΑ ΕΛΛΑΔΑ</c:v>
                </c:pt>
                <c:pt idx="13">
                  <c:v>EL4_ΚΕΝΤΡΙΚΗ ΕΛΛΑΔΑ</c:v>
                </c:pt>
              </c:strCache>
            </c:strRef>
          </c:cat>
          <c:val>
            <c:numRef>
              <c:f>Φύλλο1!$D$2:$D$15</c:f>
              <c:numCache>
                <c:formatCode>General</c:formatCode>
                <c:ptCount val="14"/>
                <c:pt idx="1">
                  <c:v>87.9</c:v>
                </c:pt>
                <c:pt idx="2">
                  <c:v>88.1</c:v>
                </c:pt>
                <c:pt idx="3">
                  <c:v>84.3</c:v>
                </c:pt>
                <c:pt idx="5">
                  <c:v>91.3</c:v>
                </c:pt>
                <c:pt idx="6">
                  <c:v>92.4</c:v>
                </c:pt>
                <c:pt idx="7">
                  <c:v>86.2</c:v>
                </c:pt>
                <c:pt idx="8">
                  <c:v>69.900000000000006</c:v>
                </c:pt>
                <c:pt idx="10">
                  <c:v>87.8</c:v>
                </c:pt>
                <c:pt idx="11">
                  <c:v>84.3</c:v>
                </c:pt>
                <c:pt idx="12">
                  <c:v>88.4</c:v>
                </c:pt>
                <c:pt idx="13">
                  <c:v>83.7</c:v>
                </c:pt>
              </c:numCache>
            </c:numRef>
          </c:val>
          <c:extLst>
            <c:ext xmlns:c16="http://schemas.microsoft.com/office/drawing/2014/chart" uri="{C3380CC4-5D6E-409C-BE32-E72D297353CC}">
              <c16:uniqueId val="{00000003-2B33-46E5-9A17-E8ACAAC9DBEF}"/>
            </c:ext>
          </c:extLst>
        </c:ser>
        <c:dLbls>
          <c:showLegendKey val="0"/>
          <c:showVal val="0"/>
          <c:showCatName val="0"/>
          <c:showSerName val="0"/>
          <c:showPercent val="0"/>
          <c:showBubbleSize val="0"/>
        </c:dLbls>
        <c:gapWidth val="30"/>
        <c:overlap val="100"/>
        <c:axId val="2123321944"/>
        <c:axId val="2123325000"/>
      </c:barChart>
      <c:catAx>
        <c:axId val="2123321944"/>
        <c:scaling>
          <c:orientation val="maxMin"/>
        </c:scaling>
        <c:delete val="0"/>
        <c:axPos val="l"/>
        <c:numFmt formatCode="General" sourceLinked="0"/>
        <c:majorTickMark val="out"/>
        <c:minorTickMark val="none"/>
        <c:tickLblPos val="nextTo"/>
        <c:crossAx val="2123325000"/>
        <c:crosses val="autoZero"/>
        <c:auto val="1"/>
        <c:lblAlgn val="ctr"/>
        <c:lblOffset val="100"/>
        <c:noMultiLvlLbl val="0"/>
      </c:catAx>
      <c:valAx>
        <c:axId val="2123325000"/>
        <c:scaling>
          <c:orientation val="minMax"/>
        </c:scaling>
        <c:delete val="0"/>
        <c:axPos val="b"/>
        <c:majorGridlines/>
        <c:numFmt formatCode="0%" sourceLinked="1"/>
        <c:majorTickMark val="out"/>
        <c:minorTickMark val="none"/>
        <c:tickLblPos val="nextTo"/>
        <c:crossAx val="2123321944"/>
        <c:crosses val="max"/>
        <c:crossBetween val="between"/>
      </c:valAx>
    </c:plotArea>
    <c:legend>
      <c:legendPos val="r"/>
      <c:layout>
        <c:manualLayout>
          <c:xMode val="edge"/>
          <c:yMode val="edge"/>
          <c:x val="0.219953438139912"/>
          <c:y val="1.85910812409879E-3"/>
          <c:w val="0.75819738122190605"/>
          <c:h val="4.5842669717794701E-2"/>
        </c:manualLayout>
      </c:layout>
      <c:overlay val="0"/>
      <c:txPr>
        <a:bodyPr/>
        <a:lstStyle/>
        <a:p>
          <a:pPr>
            <a:defRPr sz="1000"/>
          </a:pPr>
          <a:endParaRPr lang="en-US"/>
        </a:p>
      </c:txPr>
    </c:legend>
    <c:plotVisOnly val="1"/>
    <c:dispBlanksAs val="gap"/>
    <c:showDLblsOverMax val="0"/>
  </c:chart>
  <c:txPr>
    <a:bodyPr/>
    <a:lstStyle/>
    <a:p>
      <a:pPr>
        <a:defRPr sz="8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702042315216399"/>
          <c:y val="0.13135070576024099"/>
          <c:w val="0.566753406442144"/>
          <c:h val="0.74046416779767099"/>
        </c:manualLayout>
      </c:layout>
      <c:doughnutChart>
        <c:varyColors val="1"/>
        <c:ser>
          <c:idx val="0"/>
          <c:order val="0"/>
          <c:spPr>
            <a:ln w="12700">
              <a:solidFill>
                <a:schemeClr val="bg1"/>
              </a:solidFill>
            </a:ln>
            <a:effectLst/>
          </c:spPr>
          <c:dPt>
            <c:idx val="0"/>
            <c:bubble3D val="0"/>
            <c:spPr>
              <a:solidFill>
                <a:srgbClr val="4F81BD"/>
              </a:solidFill>
              <a:ln w="12700">
                <a:solidFill>
                  <a:schemeClr val="bg1"/>
                </a:solidFill>
              </a:ln>
              <a:effectLst/>
            </c:spPr>
            <c:extLst>
              <c:ext xmlns:c16="http://schemas.microsoft.com/office/drawing/2014/chart" uri="{C3380CC4-5D6E-409C-BE32-E72D297353CC}">
                <c16:uniqueId val="{00000001-92F6-49AB-A220-A08AA601A327}"/>
              </c:ext>
            </c:extLst>
          </c:dPt>
          <c:dPt>
            <c:idx val="1"/>
            <c:bubble3D val="0"/>
            <c:spPr>
              <a:solidFill>
                <a:schemeClr val="accent2"/>
              </a:solidFill>
              <a:ln w="12700">
                <a:solidFill>
                  <a:schemeClr val="bg1"/>
                </a:solidFill>
              </a:ln>
              <a:effectLst/>
            </c:spPr>
            <c:extLst>
              <c:ext xmlns:c16="http://schemas.microsoft.com/office/drawing/2014/chart" uri="{C3380CC4-5D6E-409C-BE32-E72D297353CC}">
                <c16:uniqueId val="{00000003-92F6-49AB-A220-A08AA601A327}"/>
              </c:ext>
            </c:extLst>
          </c:dPt>
          <c:dPt>
            <c:idx val="2"/>
            <c:bubble3D val="0"/>
            <c:spPr>
              <a:solidFill>
                <a:schemeClr val="bg1">
                  <a:lumMod val="65000"/>
                </a:schemeClr>
              </a:solidFill>
              <a:ln w="12700">
                <a:solidFill>
                  <a:schemeClr val="bg1"/>
                </a:solidFill>
              </a:ln>
              <a:effectLst/>
            </c:spPr>
            <c:extLst>
              <c:ext xmlns:c16="http://schemas.microsoft.com/office/drawing/2014/chart" uri="{C3380CC4-5D6E-409C-BE32-E72D297353CC}">
                <c16:uniqueId val="{00000005-92F6-49AB-A220-A08AA601A327}"/>
              </c:ext>
            </c:extLst>
          </c:dPt>
          <c:dPt>
            <c:idx val="3"/>
            <c:bubble3D val="0"/>
            <c:spPr>
              <a:solidFill>
                <a:schemeClr val="bg1">
                  <a:lumMod val="65000"/>
                </a:schemeClr>
              </a:solidFill>
              <a:ln w="12700">
                <a:solidFill>
                  <a:schemeClr val="bg1"/>
                </a:solidFill>
              </a:ln>
              <a:effectLst/>
            </c:spPr>
            <c:extLst>
              <c:ext xmlns:c16="http://schemas.microsoft.com/office/drawing/2014/chart" uri="{C3380CC4-5D6E-409C-BE32-E72D297353CC}">
                <c16:uniqueId val="{00000007-92F6-49AB-A220-A08AA601A327}"/>
              </c:ext>
            </c:extLst>
          </c:dPt>
          <c:dLbls>
            <c:dLbl>
              <c:idx val="0"/>
              <c:layout>
                <c:manualLayout>
                  <c:x val="0.120206132874423"/>
                  <c:y val="4.918293303235420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2F6-49AB-A220-A08AA601A327}"/>
                </c:ext>
              </c:extLst>
            </c:dLbl>
            <c:dLbl>
              <c:idx val="1"/>
              <c:layout>
                <c:manualLayout>
                  <c:x val="-0.147214142998456"/>
                  <c:y val="-9.718005170784629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2F6-49AB-A220-A08AA601A327}"/>
                </c:ext>
              </c:extLst>
            </c:dLbl>
            <c:dLbl>
              <c:idx val="2"/>
              <c:layout>
                <c:manualLayout>
                  <c:x val="-1.5175195224924699E-2"/>
                  <c:y val="-0.16323800311865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2F6-49AB-A220-A08AA601A327}"/>
                </c:ext>
              </c:extLst>
            </c:dLbl>
            <c:dLbl>
              <c:idx val="3"/>
              <c:layout>
                <c:manualLayout>
                  <c:x val="-2.47701930709774E-2"/>
                  <c:y val="-0.1554374950061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2F6-49AB-A220-A08AA601A32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Sheet1!$B$1:$D$1</c:f>
              <c:strCache>
                <c:ptCount val="3"/>
                <c:pt idx="0">
                  <c:v>Ναι</c:v>
                </c:pt>
                <c:pt idx="1">
                  <c:v>Όχι</c:v>
                </c:pt>
                <c:pt idx="2">
                  <c:v>Δ.Α</c:v>
                </c:pt>
              </c:strCache>
            </c:strRef>
          </c:cat>
          <c:val>
            <c:numRef>
              <c:f>Sheet1!$B$2:$D$2</c:f>
              <c:numCache>
                <c:formatCode>General</c:formatCode>
                <c:ptCount val="3"/>
                <c:pt idx="0">
                  <c:v>37.6</c:v>
                </c:pt>
                <c:pt idx="1">
                  <c:v>61.5</c:v>
                </c:pt>
                <c:pt idx="2">
                  <c:v>0.9</c:v>
                </c:pt>
              </c:numCache>
            </c:numRef>
          </c:val>
          <c:extLst>
            <c:ext xmlns:c16="http://schemas.microsoft.com/office/drawing/2014/chart" uri="{C3380CC4-5D6E-409C-BE32-E72D297353CC}">
              <c16:uniqueId val="{00000008-92F6-49AB-A220-A08AA601A327}"/>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zero"/>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84608733201701"/>
          <c:y val="0.105260400359556"/>
          <c:w val="0.77812960509629503"/>
          <c:h val="0.83061961970555498"/>
        </c:manualLayout>
      </c:layout>
      <c:barChart>
        <c:barDir val="bar"/>
        <c:grouping val="percentStacked"/>
        <c:varyColors val="0"/>
        <c:ser>
          <c:idx val="0"/>
          <c:order val="0"/>
          <c:tx>
            <c:strRef>
              <c:f>Φύλλο1!$B$1</c:f>
              <c:strCache>
                <c:ptCount val="1"/>
                <c:pt idx="0">
                  <c:v>Θα αυξηθεί</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ΚΥΚΛΟΣ ΕΡΓΑΣΙΩΝ</c:v>
                </c:pt>
                <c:pt idx="2">
                  <c:v>ΡΕΥΣΤΟΤΗΤΑ</c:v>
                </c:pt>
                <c:pt idx="3">
                  <c:v>ΠΑΡΑΓΓΕΛΙΕΣ</c:v>
                </c:pt>
                <c:pt idx="4">
                  <c:v>ΤΙΜΕΣ</c:v>
                </c:pt>
              </c:strCache>
            </c:strRef>
          </c:cat>
          <c:val>
            <c:numRef>
              <c:f>Φύλλο1!$B$2:$B$6</c:f>
              <c:numCache>
                <c:formatCode>General</c:formatCode>
                <c:ptCount val="5"/>
                <c:pt idx="0">
                  <c:v>23.9</c:v>
                </c:pt>
                <c:pt idx="1">
                  <c:v>23.6</c:v>
                </c:pt>
                <c:pt idx="2">
                  <c:v>22.9</c:v>
                </c:pt>
                <c:pt idx="3">
                  <c:v>22.4</c:v>
                </c:pt>
                <c:pt idx="4">
                  <c:v>22</c:v>
                </c:pt>
              </c:numCache>
            </c:numRef>
          </c:val>
          <c:extLst>
            <c:ext xmlns:c16="http://schemas.microsoft.com/office/drawing/2014/chart" uri="{C3380CC4-5D6E-409C-BE32-E72D297353CC}">
              <c16:uniqueId val="{00000000-B6A0-4D0E-BD85-0A4895CE060D}"/>
            </c:ext>
          </c:extLst>
        </c:ser>
        <c:ser>
          <c:idx val="1"/>
          <c:order val="1"/>
          <c:tx>
            <c:strRef>
              <c:f>Φύλλο1!$C$1</c:f>
              <c:strCache>
                <c:ptCount val="1"/>
                <c:pt idx="0">
                  <c:v>Θα μειωθεί</c:v>
                </c:pt>
              </c:strCache>
            </c:strRef>
          </c:tx>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ΚΥΚΛΟΣ ΕΡΓΑΣΙΩΝ</c:v>
                </c:pt>
                <c:pt idx="2">
                  <c:v>ΡΕΥΣΤΟΤΗΤΑ</c:v>
                </c:pt>
                <c:pt idx="3">
                  <c:v>ΠΑΡΑΓΓΕΛΙΕΣ</c:v>
                </c:pt>
                <c:pt idx="4">
                  <c:v>ΤΙΜΕΣ</c:v>
                </c:pt>
              </c:strCache>
            </c:strRef>
          </c:cat>
          <c:val>
            <c:numRef>
              <c:f>Φύλλο1!$C$2:$C$6</c:f>
              <c:numCache>
                <c:formatCode>General</c:formatCode>
                <c:ptCount val="5"/>
                <c:pt idx="0">
                  <c:v>34.6</c:v>
                </c:pt>
                <c:pt idx="1">
                  <c:v>33.700000000000003</c:v>
                </c:pt>
                <c:pt idx="2">
                  <c:v>35.4</c:v>
                </c:pt>
                <c:pt idx="3">
                  <c:v>34</c:v>
                </c:pt>
                <c:pt idx="4">
                  <c:v>8.2000000000000011</c:v>
                </c:pt>
              </c:numCache>
            </c:numRef>
          </c:val>
          <c:extLst>
            <c:ext xmlns:c16="http://schemas.microsoft.com/office/drawing/2014/chart" uri="{C3380CC4-5D6E-409C-BE32-E72D297353CC}">
              <c16:uniqueId val="{00000001-B6A0-4D0E-BD85-0A4895CE060D}"/>
            </c:ext>
          </c:extLst>
        </c:ser>
        <c:ser>
          <c:idx val="2"/>
          <c:order val="2"/>
          <c:tx>
            <c:strRef>
              <c:f>Φύλλο1!$D$1</c:f>
              <c:strCache>
                <c:ptCount val="1"/>
                <c:pt idx="0">
                  <c:v>Θα παραμείνει αμετάβλητο</c:v>
                </c:pt>
              </c:strCache>
            </c:strRef>
          </c:tx>
          <c:spPr>
            <a:solidFill>
              <a:schemeClr val="accent1">
                <a:lumMod val="75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ΚΥΚΛΟΣ ΕΡΓΑΣΙΩΝ</c:v>
                </c:pt>
                <c:pt idx="2">
                  <c:v>ΡΕΥΣΤΟΤΗΤΑ</c:v>
                </c:pt>
                <c:pt idx="3">
                  <c:v>ΠΑΡΑΓΓΕΛΙΕΣ</c:v>
                </c:pt>
                <c:pt idx="4">
                  <c:v>ΤΙΜΕΣ</c:v>
                </c:pt>
              </c:strCache>
            </c:strRef>
          </c:cat>
          <c:val>
            <c:numRef>
              <c:f>Φύλλο1!$D$2:$D$6</c:f>
              <c:numCache>
                <c:formatCode>General</c:formatCode>
                <c:ptCount val="5"/>
                <c:pt idx="0">
                  <c:v>29.7</c:v>
                </c:pt>
                <c:pt idx="1">
                  <c:v>30.7</c:v>
                </c:pt>
                <c:pt idx="2">
                  <c:v>30.5</c:v>
                </c:pt>
                <c:pt idx="3">
                  <c:v>31.5</c:v>
                </c:pt>
                <c:pt idx="4">
                  <c:v>61.8</c:v>
                </c:pt>
              </c:numCache>
            </c:numRef>
          </c:val>
          <c:extLst>
            <c:ext xmlns:c16="http://schemas.microsoft.com/office/drawing/2014/chart" uri="{C3380CC4-5D6E-409C-BE32-E72D297353CC}">
              <c16:uniqueId val="{00000002-B6A0-4D0E-BD85-0A4895CE060D}"/>
            </c:ext>
          </c:extLst>
        </c:ser>
        <c:ser>
          <c:idx val="3"/>
          <c:order val="3"/>
          <c:tx>
            <c:strRef>
              <c:f>Φύλλο1!$E$1</c:f>
              <c:strCache>
                <c:ptCount val="1"/>
                <c:pt idx="0">
                  <c:v>ΔΑ</c:v>
                </c:pt>
              </c:strCache>
            </c:strRef>
          </c:tx>
          <c:spPr>
            <a:solidFill>
              <a:schemeClr val="tx1">
                <a:lumMod val="50000"/>
                <a:lumOff val="50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ΚΥΚΛΟΣ ΕΡΓΑΣΙΩΝ</c:v>
                </c:pt>
                <c:pt idx="2">
                  <c:v>ΡΕΥΣΤΟΤΗΤΑ</c:v>
                </c:pt>
                <c:pt idx="3">
                  <c:v>ΠΑΡΑΓΓΕΛΙΕΣ</c:v>
                </c:pt>
                <c:pt idx="4">
                  <c:v>ΤΙΜΕΣ</c:v>
                </c:pt>
              </c:strCache>
            </c:strRef>
          </c:cat>
          <c:val>
            <c:numRef>
              <c:f>Φύλλο1!$E$2:$E$6</c:f>
              <c:numCache>
                <c:formatCode>General</c:formatCode>
                <c:ptCount val="5"/>
                <c:pt idx="0">
                  <c:v>11.8</c:v>
                </c:pt>
                <c:pt idx="1">
                  <c:v>11.9</c:v>
                </c:pt>
                <c:pt idx="2">
                  <c:v>11.2</c:v>
                </c:pt>
                <c:pt idx="3">
                  <c:v>12.2</c:v>
                </c:pt>
                <c:pt idx="4">
                  <c:v>8</c:v>
                </c:pt>
              </c:numCache>
            </c:numRef>
          </c:val>
          <c:extLst>
            <c:ext xmlns:c16="http://schemas.microsoft.com/office/drawing/2014/chart" uri="{C3380CC4-5D6E-409C-BE32-E72D297353CC}">
              <c16:uniqueId val="{00000003-B6A0-4D0E-BD85-0A4895CE060D}"/>
            </c:ext>
          </c:extLst>
        </c:ser>
        <c:dLbls>
          <c:showLegendKey val="0"/>
          <c:showVal val="0"/>
          <c:showCatName val="0"/>
          <c:showSerName val="0"/>
          <c:showPercent val="0"/>
          <c:showBubbleSize val="0"/>
        </c:dLbls>
        <c:gapWidth val="50"/>
        <c:overlap val="100"/>
        <c:axId val="2122672968"/>
        <c:axId val="2122669816"/>
      </c:barChart>
      <c:catAx>
        <c:axId val="2122672968"/>
        <c:scaling>
          <c:orientation val="maxMin"/>
        </c:scaling>
        <c:delete val="0"/>
        <c:axPos val="l"/>
        <c:numFmt formatCode="General" sourceLinked="0"/>
        <c:majorTickMark val="out"/>
        <c:minorTickMark val="none"/>
        <c:tickLblPos val="nextTo"/>
        <c:crossAx val="2122669816"/>
        <c:crosses val="autoZero"/>
        <c:auto val="1"/>
        <c:lblAlgn val="ctr"/>
        <c:lblOffset val="100"/>
        <c:noMultiLvlLbl val="0"/>
      </c:catAx>
      <c:valAx>
        <c:axId val="2122669816"/>
        <c:scaling>
          <c:orientation val="minMax"/>
        </c:scaling>
        <c:delete val="0"/>
        <c:axPos val="b"/>
        <c:majorGridlines/>
        <c:numFmt formatCode="0%" sourceLinked="1"/>
        <c:majorTickMark val="out"/>
        <c:minorTickMark val="none"/>
        <c:tickLblPos val="nextTo"/>
        <c:crossAx val="2122672968"/>
        <c:crosses val="max"/>
        <c:crossBetween val="between"/>
      </c:valAx>
    </c:plotArea>
    <c:legend>
      <c:legendPos val="r"/>
      <c:layout>
        <c:manualLayout>
          <c:xMode val="edge"/>
          <c:yMode val="edge"/>
          <c:x val="0.21509572835722801"/>
          <c:y val="4.46152026879168E-2"/>
          <c:w val="0.71535366682648605"/>
          <c:h val="4.2934418698222697E-2"/>
        </c:manualLayout>
      </c:layout>
      <c:overlay val="0"/>
    </c:legend>
    <c:plotVisOnly val="1"/>
    <c:dispBlanksAs val="gap"/>
    <c:showDLblsOverMax val="0"/>
  </c:chart>
  <c:txPr>
    <a:bodyPr/>
    <a:lstStyle/>
    <a:p>
      <a:pPr>
        <a:defRPr sz="800">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200059206672E-2"/>
          <c:y val="0.12028855674477799"/>
          <c:w val="0.95403624925042796"/>
          <c:h val="0.733755585940979"/>
        </c:manualLayout>
      </c:layout>
      <c:barChart>
        <c:barDir val="col"/>
        <c:grouping val="clustered"/>
        <c:varyColors val="0"/>
        <c:ser>
          <c:idx val="0"/>
          <c:order val="0"/>
          <c:tx>
            <c:strRef>
              <c:f>Sheet1!$B$1</c:f>
              <c:strCache>
                <c:ptCount val="1"/>
                <c:pt idx="0">
                  <c:v>Ιούλιος 2021</c:v>
                </c:pt>
              </c:strCache>
            </c:strRef>
          </c:tx>
          <c:spPr>
            <a:solidFill>
              <a:schemeClr val="accent1"/>
            </a:solidFill>
            <a:ln>
              <a:noFill/>
            </a:ln>
            <a:effectLst/>
            <a:sp3d/>
          </c:spPr>
          <c:invertIfNegative val="0"/>
          <c:dLbls>
            <c:dLbl>
              <c:idx val="0"/>
              <c:layout>
                <c:manualLayout>
                  <c:x val="-7.6092150638108796E-8"/>
                  <c:y val="-3.4511030432573201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7100889060688045E-2"/>
                      <c:h val="5.2761144377910844E-2"/>
                    </c:manualLayout>
                  </c15:layout>
                </c:ext>
                <c:ext xmlns:c16="http://schemas.microsoft.com/office/drawing/2014/chart" uri="{C3380CC4-5D6E-409C-BE32-E72D297353CC}">
                  <c16:uniqueId val="{00000000-85BE-492D-ACAB-39A7CCF3F0CD}"/>
                </c:ext>
              </c:extLst>
            </c:dLbl>
            <c:dLbl>
              <c:idx val="1"/>
              <c:layout>
                <c:manualLayout>
                  <c:x val="-2.1909228857249102E-3"/>
                  <c:y val="-2.7751929797086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BE-492D-ACAB-39A7CCF3F0CD}"/>
                </c:ext>
              </c:extLst>
            </c:dLbl>
            <c:dLbl>
              <c:idx val="2"/>
              <c:layout>
                <c:manualLayout>
                  <c:x val="0"/>
                  <c:y val="8.895594637496049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BE-492D-ACAB-39A7CCF3F0CD}"/>
                </c:ext>
              </c:extLst>
            </c:dLbl>
            <c:dLbl>
              <c:idx val="3"/>
              <c:layout>
                <c:manualLayout>
                  <c:x val="7.6682301000371902E-3"/>
                  <c:y val="-2.081394734781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BE-492D-ACAB-39A7CCF3F0CD}"/>
                </c:ext>
              </c:extLst>
            </c:dLbl>
            <c:dLbl>
              <c:idx val="4"/>
              <c:layout>
                <c:manualLayout>
                  <c:x val="4.3818457714498299E-3"/>
                  <c:y val="-2.5439268980662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BE-492D-ACAB-39A7CCF3F0CD}"/>
                </c:ext>
              </c:extLst>
            </c:dLbl>
            <c:dLbl>
              <c:idx val="5"/>
              <c:layout>
                <c:manualLayout>
                  <c:x val="1.0954614428623801E-3"/>
                  <c:y val="-1.850128653139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BE-492D-ACAB-39A7CCF3F0CD}"/>
                </c:ext>
              </c:extLst>
            </c:dLbl>
            <c:dLbl>
              <c:idx val="6"/>
              <c:layout>
                <c:manualLayout>
                  <c:x val="-1.0954614428626201E-3"/>
                  <c:y val="-1.6188625714967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BE-492D-ACAB-39A7CCF3F0CD}"/>
                </c:ext>
              </c:extLst>
            </c:dLbl>
            <c:dLbl>
              <c:idx val="7"/>
              <c:layout>
                <c:manualLayout>
                  <c:x val="0"/>
                  <c:y val="-2.3126608164239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BE-492D-ACAB-39A7CCF3F0C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Sheet1!$B$2:$B$9</c:f>
              <c:numCache>
                <c:formatCode>General</c:formatCode>
                <c:ptCount val="8"/>
                <c:pt idx="0">
                  <c:v>23.8</c:v>
                </c:pt>
                <c:pt idx="1">
                  <c:v>19.5</c:v>
                </c:pt>
                <c:pt idx="2">
                  <c:v>20.100000000000001</c:v>
                </c:pt>
                <c:pt idx="3">
                  <c:v>25.5</c:v>
                </c:pt>
                <c:pt idx="4">
                  <c:v>15.2</c:v>
                </c:pt>
                <c:pt idx="5">
                  <c:v>13.1</c:v>
                </c:pt>
                <c:pt idx="6">
                  <c:v>19.5</c:v>
                </c:pt>
                <c:pt idx="7">
                  <c:v>10.199999999999999</c:v>
                </c:pt>
              </c:numCache>
            </c:numRef>
          </c:val>
          <c:extLst>
            <c:ext xmlns:c16="http://schemas.microsoft.com/office/drawing/2014/chart" uri="{C3380CC4-5D6E-409C-BE32-E72D297353CC}">
              <c16:uniqueId val="{00000008-85BE-492D-ACAB-39A7CCF3F0CD}"/>
            </c:ext>
          </c:extLst>
        </c:ser>
        <c:ser>
          <c:idx val="1"/>
          <c:order val="1"/>
          <c:tx>
            <c:strRef>
              <c:f>Sheet1!$C$1</c:f>
              <c:strCache>
                <c:ptCount val="1"/>
                <c:pt idx="0">
                  <c:v>Φεβρουάριος 2021</c:v>
                </c:pt>
              </c:strCache>
            </c:strRef>
          </c:tx>
          <c:spPr>
            <a:solidFill>
              <a:schemeClr val="bg1">
                <a:lumMod val="75000"/>
              </a:schemeClr>
            </a:solidFill>
            <a:ln>
              <a:noFill/>
            </a:ln>
            <a:effectLst/>
            <a:sp3d/>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Sheet1!$C$2:$C$9</c:f>
              <c:numCache>
                <c:formatCode>General</c:formatCode>
                <c:ptCount val="8"/>
                <c:pt idx="0">
                  <c:v>26.3</c:v>
                </c:pt>
                <c:pt idx="1">
                  <c:v>23.8</c:v>
                </c:pt>
                <c:pt idx="2">
                  <c:v>22.6</c:v>
                </c:pt>
                <c:pt idx="3">
                  <c:v>32.9</c:v>
                </c:pt>
                <c:pt idx="4">
                  <c:v>20.5</c:v>
                </c:pt>
                <c:pt idx="5">
                  <c:v>16.600000000000001</c:v>
                </c:pt>
                <c:pt idx="6">
                  <c:v>23</c:v>
                </c:pt>
                <c:pt idx="7">
                  <c:v>13.1</c:v>
                </c:pt>
              </c:numCache>
            </c:numRef>
          </c:val>
          <c:extLst>
            <c:ext xmlns:c16="http://schemas.microsoft.com/office/drawing/2014/chart" uri="{C3380CC4-5D6E-409C-BE32-E72D297353CC}">
              <c16:uniqueId val="{00000011-85BE-492D-ACAB-39A7CCF3F0CD}"/>
            </c:ext>
          </c:extLst>
        </c:ser>
        <c:ser>
          <c:idx val="2"/>
          <c:order val="2"/>
          <c:tx>
            <c:strRef>
              <c:f>Sheet1!$D$1</c:f>
              <c:strCache>
                <c:ptCount val="1"/>
                <c:pt idx="0">
                  <c:v>Ιούλιος 2020</c:v>
                </c:pt>
              </c:strCache>
            </c:strRef>
          </c:tx>
          <c:invertIfNegative val="0"/>
          <c:dLbls>
            <c:dLbl>
              <c:idx val="0"/>
              <c:layout>
                <c:manualLayout>
                  <c:x val="-1.7716584410078099E-17"/>
                  <c:y val="6.65335994677312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70-4F2E-9B45-CDA28C682C4F}"/>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Sheet1!$D$2:$D$9</c:f>
              <c:numCache>
                <c:formatCode>General</c:formatCode>
                <c:ptCount val="8"/>
                <c:pt idx="0">
                  <c:v>25.3</c:v>
                </c:pt>
                <c:pt idx="1">
                  <c:v>25.4</c:v>
                </c:pt>
                <c:pt idx="2">
                  <c:v>26.7</c:v>
                </c:pt>
                <c:pt idx="3">
                  <c:v>29.2</c:v>
                </c:pt>
                <c:pt idx="4">
                  <c:v>23.5</c:v>
                </c:pt>
                <c:pt idx="5">
                  <c:v>19.600000000000001</c:v>
                </c:pt>
                <c:pt idx="6">
                  <c:v>30</c:v>
                </c:pt>
                <c:pt idx="7">
                  <c:v>16.899999999999999</c:v>
                </c:pt>
              </c:numCache>
            </c:numRef>
          </c:val>
          <c:extLst>
            <c:ext xmlns:c16="http://schemas.microsoft.com/office/drawing/2014/chart" uri="{C3380CC4-5D6E-409C-BE32-E72D297353CC}">
              <c16:uniqueId val="{00000001-1770-4F2E-9B45-CDA28C682C4F}"/>
            </c:ext>
          </c:extLst>
        </c:ser>
        <c:dLbls>
          <c:showLegendKey val="0"/>
          <c:showVal val="1"/>
          <c:showCatName val="0"/>
          <c:showSerName val="0"/>
          <c:showPercent val="0"/>
          <c:showBubbleSize val="0"/>
        </c:dLbls>
        <c:gapWidth val="150"/>
        <c:axId val="2122540984"/>
        <c:axId val="2122537256"/>
      </c:barChart>
      <c:catAx>
        <c:axId val="2122540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crossAx val="2122537256"/>
        <c:crosses val="autoZero"/>
        <c:auto val="1"/>
        <c:lblAlgn val="ctr"/>
        <c:lblOffset val="100"/>
        <c:noMultiLvlLbl val="0"/>
      </c:catAx>
      <c:valAx>
        <c:axId val="2122537256"/>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crossAx val="2122540984"/>
        <c:crosses val="autoZero"/>
        <c:crossBetween val="between"/>
      </c:valAx>
      <c:spPr>
        <a:noFill/>
        <a:ln w="25400">
          <a:noFill/>
        </a:ln>
        <a:effectLst/>
        <a:sp3d/>
      </c:spPr>
    </c:plotArea>
    <c:legend>
      <c:legendPos val="b"/>
      <c:layout>
        <c:manualLayout>
          <c:xMode val="edge"/>
          <c:yMode val="edge"/>
          <c:x val="0.20034347996797999"/>
          <c:y val="2.97673776090106E-2"/>
          <c:w val="0.58289539764236098"/>
          <c:h val="6.17864009513781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200059206672E-2"/>
          <c:y val="0.18319875620643"/>
          <c:w val="0.95403624925042796"/>
          <c:h val="0.61434799463626399"/>
        </c:manualLayout>
      </c:layout>
      <c:barChart>
        <c:barDir val="col"/>
        <c:grouping val="clustered"/>
        <c:varyColors val="0"/>
        <c:ser>
          <c:idx val="0"/>
          <c:order val="0"/>
          <c:tx>
            <c:strRef>
              <c:f>Sheet1!$B$1</c:f>
              <c:strCache>
                <c:ptCount val="1"/>
                <c:pt idx="0">
                  <c:v>Ιούλιος 2021</c:v>
                </c:pt>
              </c:strCache>
            </c:strRef>
          </c:tx>
          <c:spPr>
            <a:solidFill>
              <a:schemeClr val="accent1"/>
            </a:solidFill>
            <a:ln>
              <a:noFill/>
            </a:ln>
            <a:effectLst/>
            <a:sp3d/>
          </c:spPr>
          <c:invertIfNegative val="0"/>
          <c:dLbls>
            <c:spPr>
              <a:noFill/>
              <a:ln>
                <a:noFill/>
              </a:ln>
              <a:effectLst/>
            </c:spPr>
            <c:txPr>
              <a:bodyPr wrap="square" lIns="38100" tIns="19050" rIns="38100" bIns="19050" anchor="ctr">
                <a:spAutoFit/>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Sheet1!$B$2:$B$9</c:f>
              <c:numCache>
                <c:formatCode>General</c:formatCode>
                <c:ptCount val="8"/>
                <c:pt idx="0">
                  <c:v>20.8</c:v>
                </c:pt>
                <c:pt idx="1">
                  <c:v>20.8</c:v>
                </c:pt>
                <c:pt idx="2">
                  <c:v>19.2</c:v>
                </c:pt>
                <c:pt idx="3">
                  <c:v>20.2</c:v>
                </c:pt>
                <c:pt idx="4">
                  <c:v>16.5</c:v>
                </c:pt>
                <c:pt idx="5">
                  <c:v>15.9</c:v>
                </c:pt>
                <c:pt idx="6">
                  <c:v>19</c:v>
                </c:pt>
                <c:pt idx="7">
                  <c:v>16.899999999999999</c:v>
                </c:pt>
              </c:numCache>
            </c:numRef>
          </c:val>
          <c:extLst>
            <c:ext xmlns:c16="http://schemas.microsoft.com/office/drawing/2014/chart" uri="{C3380CC4-5D6E-409C-BE32-E72D297353CC}">
              <c16:uniqueId val="{00000008-4C18-4B9D-8D1A-30706378BCA2}"/>
            </c:ext>
          </c:extLst>
        </c:ser>
        <c:ser>
          <c:idx val="1"/>
          <c:order val="1"/>
          <c:tx>
            <c:strRef>
              <c:f>Sheet1!$C$1</c:f>
              <c:strCache>
                <c:ptCount val="1"/>
                <c:pt idx="0">
                  <c:v>Φεβρουάριος 2021</c:v>
                </c:pt>
              </c:strCache>
            </c:strRef>
          </c:tx>
          <c:spPr>
            <a:solidFill>
              <a:schemeClr val="bg1">
                <a:lumMod val="75000"/>
              </a:schemeClr>
            </a:solidFill>
            <a:ln>
              <a:noFill/>
            </a:ln>
            <a:effectLst/>
            <a:sp3d/>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Sheet1!$C$2:$C$9</c:f>
              <c:numCache>
                <c:formatCode>General</c:formatCode>
                <c:ptCount val="8"/>
                <c:pt idx="0">
                  <c:v>31.3</c:v>
                </c:pt>
                <c:pt idx="1">
                  <c:v>30.1</c:v>
                </c:pt>
                <c:pt idx="2">
                  <c:v>26.6</c:v>
                </c:pt>
                <c:pt idx="3">
                  <c:v>44.6</c:v>
                </c:pt>
                <c:pt idx="4">
                  <c:v>26.3</c:v>
                </c:pt>
                <c:pt idx="5">
                  <c:v>25.1</c:v>
                </c:pt>
                <c:pt idx="6">
                  <c:v>35.200000000000003</c:v>
                </c:pt>
                <c:pt idx="7">
                  <c:v>24.2</c:v>
                </c:pt>
              </c:numCache>
            </c:numRef>
          </c:val>
          <c:extLst>
            <c:ext xmlns:c16="http://schemas.microsoft.com/office/drawing/2014/chart" uri="{C3380CC4-5D6E-409C-BE32-E72D297353CC}">
              <c16:uniqueId val="{00000011-4C18-4B9D-8D1A-30706378BCA2}"/>
            </c:ext>
          </c:extLst>
        </c:ser>
        <c:ser>
          <c:idx val="2"/>
          <c:order val="2"/>
          <c:tx>
            <c:strRef>
              <c:f>Sheet1!$D$1</c:f>
              <c:strCache>
                <c:ptCount val="1"/>
                <c:pt idx="0">
                  <c:v>Ιούλιος 2020</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Sheet1!$D$2:$D$9</c:f>
              <c:numCache>
                <c:formatCode>General</c:formatCode>
                <c:ptCount val="8"/>
                <c:pt idx="0">
                  <c:v>21.9</c:v>
                </c:pt>
                <c:pt idx="1">
                  <c:v>22.2</c:v>
                </c:pt>
                <c:pt idx="2">
                  <c:v>19.899999999999999</c:v>
                </c:pt>
                <c:pt idx="3">
                  <c:v>23.9</c:v>
                </c:pt>
                <c:pt idx="4">
                  <c:v>20.2</c:v>
                </c:pt>
                <c:pt idx="5">
                  <c:v>19.7</c:v>
                </c:pt>
                <c:pt idx="6">
                  <c:v>24.8</c:v>
                </c:pt>
                <c:pt idx="7">
                  <c:v>17.5</c:v>
                </c:pt>
              </c:numCache>
            </c:numRef>
          </c:val>
          <c:extLst>
            <c:ext xmlns:c16="http://schemas.microsoft.com/office/drawing/2014/chart" uri="{C3380CC4-5D6E-409C-BE32-E72D297353CC}">
              <c16:uniqueId val="{00000001-3226-4E98-BB45-1206DB2D1F77}"/>
            </c:ext>
          </c:extLst>
        </c:ser>
        <c:dLbls>
          <c:showLegendKey val="0"/>
          <c:showVal val="1"/>
          <c:showCatName val="0"/>
          <c:showSerName val="0"/>
          <c:showPercent val="0"/>
          <c:showBubbleSize val="0"/>
        </c:dLbls>
        <c:gapWidth val="150"/>
        <c:axId val="2122428840"/>
        <c:axId val="2122425112"/>
      </c:barChart>
      <c:catAx>
        <c:axId val="2122428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crossAx val="2122425112"/>
        <c:crosses val="autoZero"/>
        <c:auto val="1"/>
        <c:lblAlgn val="ctr"/>
        <c:lblOffset val="100"/>
        <c:noMultiLvlLbl val="0"/>
      </c:catAx>
      <c:valAx>
        <c:axId val="2122425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crossAx val="2122428840"/>
        <c:crosses val="autoZero"/>
        <c:crossBetween val="between"/>
      </c:valAx>
      <c:spPr>
        <a:noFill/>
        <a:ln w="25400">
          <a:noFill/>
        </a:ln>
        <a:effectLst/>
        <a:sp3d/>
      </c:spPr>
    </c:plotArea>
    <c:legend>
      <c:legendPos val="b"/>
      <c:layout>
        <c:manualLayout>
          <c:xMode val="edge"/>
          <c:yMode val="edge"/>
          <c:x val="0.20034347996797999"/>
          <c:y val="2.97673776090106E-2"/>
          <c:w val="0.58289539764236098"/>
          <c:h val="7.4951542074189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000"/>
              <a:t>ΓΡΑΦΗΜΑ</a:t>
            </a:r>
            <a:r>
              <a:rPr lang="el-GR" sz="1000" baseline="0"/>
              <a:t> 24</a:t>
            </a:r>
          </a:p>
          <a:p>
            <a:pPr>
              <a:defRPr sz="1200"/>
            </a:pPr>
            <a:r>
              <a:rPr lang="el-GR" sz="1000"/>
              <a:t>ΦΟΒΟΣ ΓΙΑ ΕΝΔΕΧΟΜΕΝΟ ΚΛΕΙΣΙΜΟ ΤΗΣ ΕΠΙΧΕΙΡΗΣΗΣ</a:t>
            </a:r>
          </a:p>
          <a:p>
            <a:pPr>
              <a:defRPr sz="1200"/>
            </a:pPr>
            <a:r>
              <a:rPr lang="el-GR" sz="1000"/>
              <a:t>ΣΥΓΚΡΙΤΙΚΟ ΓΡΑΦΗΜΑ ΙΟΥΛΙΟΣ 2019 – ΙΟΥΛΙΟΣ 2021</a:t>
            </a:r>
          </a:p>
        </c:rich>
      </c:tx>
      <c:layout>
        <c:manualLayout>
          <c:xMode val="edge"/>
          <c:yMode val="edge"/>
          <c:x val="0.22665680947854699"/>
          <c:y val="0"/>
        </c:manualLayout>
      </c:layout>
      <c:overlay val="0"/>
    </c:title>
    <c:autoTitleDeleted val="0"/>
    <c:plotArea>
      <c:layout>
        <c:manualLayout>
          <c:layoutTarget val="inner"/>
          <c:xMode val="edge"/>
          <c:yMode val="edge"/>
          <c:x val="3.9367181375055398E-2"/>
          <c:y val="0.12064154955314101"/>
          <c:w val="0.95138248218706201"/>
          <c:h val="0.78909664772915999"/>
        </c:manualLayout>
      </c:layout>
      <c:barChart>
        <c:barDir val="col"/>
        <c:grouping val="clustered"/>
        <c:varyColors val="0"/>
        <c:ser>
          <c:idx val="0"/>
          <c:order val="0"/>
          <c:tx>
            <c:strRef>
              <c:f>Φύλλο1!$B$1</c:f>
              <c:strCache>
                <c:ptCount val="1"/>
                <c:pt idx="0">
                  <c:v>ΦΟΒΟΣ ΓΙΑ ΕΝΔΕΧΟΜΕΝΟ ΚΛΕΙΣΙΜΟ ΤΗΣ ΕΠΙΧΕΙΡΗΣΗΣ - ΣΥΓΚΡΙΤΙΚΟ ΓΡΑΦΗΜΑ ΙΟΥΛΙΟΣ 2019 – ΙΟΥΝΙΟΣ 2020</c:v>
                </c:pt>
              </c:strCache>
            </c:strRef>
          </c:tx>
          <c:spPr>
            <a:solidFill>
              <a:schemeClr val="accent3">
                <a:lumMod val="60000"/>
                <a:lumOff val="40000"/>
              </a:schemeClr>
            </a:solidFill>
          </c:spPr>
          <c:invertIfNegative val="0"/>
          <c:dPt>
            <c:idx val="0"/>
            <c:invertIfNegative val="0"/>
            <c:bubble3D val="0"/>
            <c:spPr>
              <a:solidFill>
                <a:srgbClr val="F79747"/>
              </a:solidFill>
            </c:spPr>
            <c:extLst>
              <c:ext xmlns:c16="http://schemas.microsoft.com/office/drawing/2014/chart" uri="{C3380CC4-5D6E-409C-BE32-E72D297353CC}">
                <c16:uniqueId val="{00000012-7EA3-4FF6-B323-8EBEF1926541}"/>
              </c:ext>
            </c:extLst>
          </c:dPt>
          <c:dPt>
            <c:idx val="1"/>
            <c:invertIfNegative val="0"/>
            <c:bubble3D val="0"/>
            <c:spPr>
              <a:solidFill>
                <a:srgbClr val="A1A1A1"/>
              </a:solidFill>
            </c:spPr>
            <c:extLst>
              <c:ext xmlns:c16="http://schemas.microsoft.com/office/drawing/2014/chart" uri="{C3380CC4-5D6E-409C-BE32-E72D297353CC}">
                <c16:uniqueId val="{00000000-A5A2-4480-B2F1-527D556345EE}"/>
              </c:ext>
            </c:extLst>
          </c:dPt>
          <c:dPt>
            <c:idx val="2"/>
            <c:invertIfNegative val="0"/>
            <c:bubble3D val="0"/>
            <c:spPr>
              <a:solidFill>
                <a:srgbClr val="F79747"/>
              </a:solidFill>
            </c:spPr>
            <c:extLst>
              <c:ext xmlns:c16="http://schemas.microsoft.com/office/drawing/2014/chart" uri="{C3380CC4-5D6E-409C-BE32-E72D297353CC}">
                <c16:uniqueId val="{00000013-7EA3-4FF6-B323-8EBEF1926541}"/>
              </c:ext>
            </c:extLst>
          </c:dPt>
          <c:dPt>
            <c:idx val="3"/>
            <c:invertIfNegative val="0"/>
            <c:bubble3D val="0"/>
            <c:spPr>
              <a:solidFill>
                <a:srgbClr val="A1A1A1"/>
              </a:solidFill>
            </c:spPr>
            <c:extLst>
              <c:ext xmlns:c16="http://schemas.microsoft.com/office/drawing/2014/chart" uri="{C3380CC4-5D6E-409C-BE32-E72D297353CC}">
                <c16:uniqueId val="{00000001-A5A2-4480-B2F1-527D556345EE}"/>
              </c:ext>
            </c:extLst>
          </c:dPt>
          <c:dPt>
            <c:idx val="4"/>
            <c:invertIfNegative val="0"/>
            <c:bubble3D val="0"/>
            <c:spPr>
              <a:solidFill>
                <a:srgbClr val="F79747"/>
              </a:solidFill>
            </c:spPr>
            <c:extLst>
              <c:ext xmlns:c16="http://schemas.microsoft.com/office/drawing/2014/chart" uri="{C3380CC4-5D6E-409C-BE32-E72D297353CC}">
                <c16:uniqueId val="{00000014-7EA3-4FF6-B323-8EBEF1926541}"/>
              </c:ext>
            </c:extLst>
          </c:dPt>
          <c:dPt>
            <c:idx val="5"/>
            <c:invertIfNegative val="0"/>
            <c:bubble3D val="0"/>
            <c:spPr>
              <a:solidFill>
                <a:srgbClr val="A1A1A1"/>
              </a:solidFill>
            </c:spPr>
            <c:extLst>
              <c:ext xmlns:c16="http://schemas.microsoft.com/office/drawing/2014/chart" uri="{C3380CC4-5D6E-409C-BE32-E72D297353CC}">
                <c16:uniqueId val="{00000002-A5A2-4480-B2F1-527D556345EE}"/>
              </c:ext>
            </c:extLst>
          </c:dPt>
          <c:dPt>
            <c:idx val="6"/>
            <c:invertIfNegative val="0"/>
            <c:bubble3D val="0"/>
            <c:spPr>
              <a:solidFill>
                <a:srgbClr val="F79747"/>
              </a:solidFill>
            </c:spPr>
            <c:extLst>
              <c:ext xmlns:c16="http://schemas.microsoft.com/office/drawing/2014/chart" uri="{C3380CC4-5D6E-409C-BE32-E72D297353CC}">
                <c16:uniqueId val="{00000015-7EA3-4FF6-B323-8EBEF1926541}"/>
              </c:ext>
            </c:extLst>
          </c:dPt>
          <c:dPt>
            <c:idx val="7"/>
            <c:invertIfNegative val="0"/>
            <c:bubble3D val="0"/>
            <c:spPr>
              <a:solidFill>
                <a:srgbClr val="A1A1A1"/>
              </a:solidFill>
            </c:spPr>
            <c:extLst>
              <c:ext xmlns:c16="http://schemas.microsoft.com/office/drawing/2014/chart" uri="{C3380CC4-5D6E-409C-BE32-E72D297353CC}">
                <c16:uniqueId val="{00000003-A5A2-4480-B2F1-527D556345EE}"/>
              </c:ext>
            </c:extLst>
          </c:dPt>
          <c:dPt>
            <c:idx val="8"/>
            <c:invertIfNegative val="0"/>
            <c:bubble3D val="0"/>
            <c:spPr>
              <a:solidFill>
                <a:srgbClr val="F79747"/>
              </a:solidFill>
            </c:spPr>
            <c:extLst>
              <c:ext xmlns:c16="http://schemas.microsoft.com/office/drawing/2014/chart" uri="{C3380CC4-5D6E-409C-BE32-E72D297353CC}">
                <c16:uniqueId val="{00000016-7EA3-4FF6-B323-8EBEF1926541}"/>
              </c:ext>
            </c:extLst>
          </c:dPt>
          <c:dPt>
            <c:idx val="9"/>
            <c:invertIfNegative val="0"/>
            <c:bubble3D val="0"/>
            <c:spPr>
              <a:solidFill>
                <a:srgbClr val="A1A1A1"/>
              </a:solidFill>
            </c:spPr>
            <c:extLst>
              <c:ext xmlns:c16="http://schemas.microsoft.com/office/drawing/2014/chart" uri="{C3380CC4-5D6E-409C-BE32-E72D297353CC}">
                <c16:uniqueId val="{00000004-A5A2-4480-B2F1-527D556345EE}"/>
              </c:ext>
            </c:extLst>
          </c:dPt>
          <c:dPt>
            <c:idx val="10"/>
            <c:invertIfNegative val="0"/>
            <c:bubble3D val="0"/>
            <c:spPr>
              <a:solidFill>
                <a:srgbClr val="F79747"/>
              </a:solidFill>
            </c:spPr>
            <c:extLst>
              <c:ext xmlns:c16="http://schemas.microsoft.com/office/drawing/2014/chart" uri="{C3380CC4-5D6E-409C-BE32-E72D297353CC}">
                <c16:uniqueId val="{00000017-7EA3-4FF6-B323-8EBEF1926541}"/>
              </c:ext>
            </c:extLst>
          </c:dPt>
          <c:dPt>
            <c:idx val="11"/>
            <c:invertIfNegative val="0"/>
            <c:bubble3D val="0"/>
            <c:spPr>
              <a:solidFill>
                <a:srgbClr val="A1A1A1"/>
              </a:solidFill>
            </c:spPr>
            <c:extLst>
              <c:ext xmlns:c16="http://schemas.microsoft.com/office/drawing/2014/chart" uri="{C3380CC4-5D6E-409C-BE32-E72D297353CC}">
                <c16:uniqueId val="{00000005-A5A2-4480-B2F1-527D556345EE}"/>
              </c:ext>
            </c:extLst>
          </c:dPt>
          <c:dPt>
            <c:idx val="12"/>
            <c:invertIfNegative val="0"/>
            <c:bubble3D val="0"/>
            <c:spPr>
              <a:solidFill>
                <a:srgbClr val="F79747"/>
              </a:solidFill>
            </c:spPr>
            <c:extLst>
              <c:ext xmlns:c16="http://schemas.microsoft.com/office/drawing/2014/chart" uri="{C3380CC4-5D6E-409C-BE32-E72D297353CC}">
                <c16:uniqueId val="{00000018-7EA3-4FF6-B323-8EBEF1926541}"/>
              </c:ext>
            </c:extLst>
          </c:dPt>
          <c:dPt>
            <c:idx val="13"/>
            <c:invertIfNegative val="0"/>
            <c:bubble3D val="0"/>
            <c:spPr>
              <a:solidFill>
                <a:srgbClr val="A1A1A1"/>
              </a:solidFill>
            </c:spPr>
            <c:extLst>
              <c:ext xmlns:c16="http://schemas.microsoft.com/office/drawing/2014/chart" uri="{C3380CC4-5D6E-409C-BE32-E72D297353CC}">
                <c16:uniqueId val="{00000006-A5A2-4480-B2F1-527D556345EE}"/>
              </c:ext>
            </c:extLst>
          </c:dPt>
          <c:dPt>
            <c:idx val="14"/>
            <c:invertIfNegative val="0"/>
            <c:bubble3D val="0"/>
            <c:spPr>
              <a:solidFill>
                <a:srgbClr val="F79747"/>
              </a:solidFill>
            </c:spPr>
            <c:extLst>
              <c:ext xmlns:c16="http://schemas.microsoft.com/office/drawing/2014/chart" uri="{C3380CC4-5D6E-409C-BE32-E72D297353CC}">
                <c16:uniqueId val="{00000019-7EA3-4FF6-B323-8EBEF1926541}"/>
              </c:ext>
            </c:extLst>
          </c:dPt>
          <c:dPt>
            <c:idx val="15"/>
            <c:invertIfNegative val="0"/>
            <c:bubble3D val="0"/>
            <c:spPr>
              <a:solidFill>
                <a:srgbClr val="A1A1A1"/>
              </a:solidFill>
            </c:spPr>
            <c:extLst>
              <c:ext xmlns:c16="http://schemas.microsoft.com/office/drawing/2014/chart" uri="{C3380CC4-5D6E-409C-BE32-E72D297353CC}">
                <c16:uniqueId val="{00000007-A5A2-4480-B2F1-527D556345EE}"/>
              </c:ext>
            </c:extLst>
          </c:dPt>
          <c:dPt>
            <c:idx val="16"/>
            <c:invertIfNegative val="0"/>
            <c:bubble3D val="0"/>
            <c:spPr>
              <a:solidFill>
                <a:srgbClr val="F79747"/>
              </a:solidFill>
            </c:spPr>
            <c:extLst>
              <c:ext xmlns:c16="http://schemas.microsoft.com/office/drawing/2014/chart" uri="{C3380CC4-5D6E-409C-BE32-E72D297353CC}">
                <c16:uniqueId val="{0000001A-7EA3-4FF6-B323-8EBEF1926541}"/>
              </c:ext>
            </c:extLst>
          </c:dPt>
          <c:dPt>
            <c:idx val="17"/>
            <c:invertIfNegative val="0"/>
            <c:bubble3D val="0"/>
            <c:spPr>
              <a:solidFill>
                <a:srgbClr val="A1A1A1"/>
              </a:solidFill>
            </c:spPr>
            <c:extLst>
              <c:ext xmlns:c16="http://schemas.microsoft.com/office/drawing/2014/chart" uri="{C3380CC4-5D6E-409C-BE32-E72D297353CC}">
                <c16:uniqueId val="{00000010-DDE4-4E09-96A3-A375C73FE945}"/>
              </c:ext>
            </c:extLst>
          </c:dPt>
          <c:dPt>
            <c:idx val="18"/>
            <c:invertIfNegative val="0"/>
            <c:bubble3D val="0"/>
            <c:spPr>
              <a:solidFill>
                <a:srgbClr val="F79747"/>
              </a:solidFill>
            </c:spPr>
            <c:extLst>
              <c:ext xmlns:c16="http://schemas.microsoft.com/office/drawing/2014/chart" uri="{C3380CC4-5D6E-409C-BE32-E72D297353CC}">
                <c16:uniqueId val="{0000001B-7EA3-4FF6-B323-8EBEF1926541}"/>
              </c:ext>
            </c:extLst>
          </c:dPt>
          <c:dPt>
            <c:idx val="19"/>
            <c:invertIfNegative val="0"/>
            <c:bubble3D val="0"/>
            <c:spPr>
              <a:solidFill>
                <a:srgbClr val="A1A1A1"/>
              </a:solidFill>
            </c:spPr>
            <c:extLst>
              <c:ext xmlns:c16="http://schemas.microsoft.com/office/drawing/2014/chart" uri="{C3380CC4-5D6E-409C-BE32-E72D297353CC}">
                <c16:uniqueId val="{00000027-05CE-41F7-B654-F0F6FFC46C85}"/>
              </c:ext>
            </c:extLst>
          </c:dPt>
          <c:dLbls>
            <c:spPr>
              <a:noFill/>
              <a:ln>
                <a:noFill/>
              </a:ln>
              <a:effectLst/>
            </c:spPr>
            <c:txPr>
              <a:bodyPr/>
              <a:lstStyle/>
              <a:p>
                <a:pPr>
                  <a:defRPr sz="1000">
                    <a:latin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ΙΟΥΛ. 2019</c:v>
                </c:pt>
                <c:pt idx="1">
                  <c:v>ΦΕΒΡ. 2020</c:v>
                </c:pt>
                <c:pt idx="2">
                  <c:v>ΙΟΥΛ. 2020</c:v>
                </c:pt>
                <c:pt idx="3">
                  <c:v>ΦΕΒΡ. 2021</c:v>
                </c:pt>
                <c:pt idx="4">
                  <c:v>ΙΟΥ. 2021</c:v>
                </c:pt>
              </c:strCache>
            </c:strRef>
          </c:cat>
          <c:val>
            <c:numRef>
              <c:f>Φύλλο1!$B$2:$B$6</c:f>
              <c:numCache>
                <c:formatCode>0.0</c:formatCode>
                <c:ptCount val="5"/>
                <c:pt idx="0">
                  <c:v>24.1</c:v>
                </c:pt>
                <c:pt idx="1">
                  <c:v>20.9</c:v>
                </c:pt>
                <c:pt idx="2">
                  <c:v>32.700000000000003</c:v>
                </c:pt>
                <c:pt idx="3">
                  <c:v>38.200000000000003</c:v>
                </c:pt>
                <c:pt idx="4">
                  <c:v>36.700000000000003</c:v>
                </c:pt>
              </c:numCache>
            </c:numRef>
          </c:val>
          <c:extLst>
            <c:ext xmlns:c16="http://schemas.microsoft.com/office/drawing/2014/chart" uri="{C3380CC4-5D6E-409C-BE32-E72D297353CC}">
              <c16:uniqueId val="{00000008-A5A2-4480-B2F1-527D556345EE}"/>
            </c:ext>
          </c:extLst>
        </c:ser>
        <c:dLbls>
          <c:showLegendKey val="0"/>
          <c:showVal val="0"/>
          <c:showCatName val="0"/>
          <c:showSerName val="0"/>
          <c:showPercent val="0"/>
          <c:showBubbleSize val="0"/>
        </c:dLbls>
        <c:gapWidth val="75"/>
        <c:axId val="2122366360"/>
        <c:axId val="2122363224"/>
      </c:barChart>
      <c:catAx>
        <c:axId val="2122366360"/>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n-US"/>
          </a:p>
        </c:txPr>
        <c:crossAx val="2122363224"/>
        <c:crosses val="autoZero"/>
        <c:auto val="1"/>
        <c:lblAlgn val="ctr"/>
        <c:lblOffset val="100"/>
        <c:noMultiLvlLbl val="0"/>
      </c:catAx>
      <c:valAx>
        <c:axId val="2122363224"/>
        <c:scaling>
          <c:orientation val="minMax"/>
        </c:scaling>
        <c:delete val="1"/>
        <c:axPos val="l"/>
        <c:majorGridlines/>
        <c:numFmt formatCode="0.0" sourceLinked="1"/>
        <c:majorTickMark val="out"/>
        <c:minorTickMark val="none"/>
        <c:tickLblPos val="nextTo"/>
        <c:crossAx val="2122366360"/>
        <c:crosses val="autoZero"/>
        <c:crossBetween val="between"/>
      </c:valAx>
      <c:spPr>
        <a:ln>
          <a:solidFill>
            <a:schemeClr val="tx1"/>
          </a:solidFill>
        </a:ln>
      </c:spPr>
    </c:plotArea>
    <c:plotVisOnly val="1"/>
    <c:dispBlanksAs val="gap"/>
    <c:showDLblsOverMax val="0"/>
  </c:chart>
  <c:txPr>
    <a:bodyPr/>
    <a:lstStyle/>
    <a:p>
      <a:pPr>
        <a:defRPr sz="1800"/>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575230359997299"/>
          <c:y val="0.12881115492231399"/>
          <c:w val="0.5415100815453"/>
          <c:h val="0.733658581033649"/>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c:ext xmlns:c16="http://schemas.microsoft.com/office/drawing/2014/chart" uri="{C3380CC4-5D6E-409C-BE32-E72D297353CC}">
                <c16:uniqueId val="{00000001-F38E-404E-BD7F-061C7D30C139}"/>
              </c:ext>
            </c:extLst>
          </c:dPt>
          <c:dPt>
            <c:idx val="1"/>
            <c:bubble3D val="0"/>
            <c:spPr>
              <a:solidFill>
                <a:schemeClr val="accent3">
                  <a:lumMod val="75000"/>
                </a:schemeClr>
              </a:solidFill>
              <a:ln>
                <a:solidFill>
                  <a:schemeClr val="bg1"/>
                </a:solidFill>
              </a:ln>
            </c:spPr>
            <c:extLst>
              <c:ext xmlns:c16="http://schemas.microsoft.com/office/drawing/2014/chart" uri="{C3380CC4-5D6E-409C-BE32-E72D297353CC}">
                <c16:uniqueId val="{00000003-F38E-404E-BD7F-061C7D30C139}"/>
              </c:ext>
            </c:extLst>
          </c:dPt>
          <c:dPt>
            <c:idx val="2"/>
            <c:bubble3D val="0"/>
            <c:spPr>
              <a:solidFill>
                <a:schemeClr val="accent2">
                  <a:lumMod val="60000"/>
                  <a:lumOff val="40000"/>
                </a:schemeClr>
              </a:solidFill>
              <a:ln>
                <a:solidFill>
                  <a:schemeClr val="bg1"/>
                </a:solidFill>
              </a:ln>
            </c:spPr>
            <c:extLst>
              <c:ext xmlns:c16="http://schemas.microsoft.com/office/drawing/2014/chart" uri="{C3380CC4-5D6E-409C-BE32-E72D297353CC}">
                <c16:uniqueId val="{00000005-F38E-404E-BD7F-061C7D30C139}"/>
              </c:ext>
            </c:extLst>
          </c:dPt>
          <c:dPt>
            <c:idx val="3"/>
            <c:bubble3D val="0"/>
            <c:spPr>
              <a:solidFill>
                <a:schemeClr val="accent2">
                  <a:lumMod val="75000"/>
                </a:schemeClr>
              </a:solidFill>
              <a:ln>
                <a:solidFill>
                  <a:schemeClr val="bg1"/>
                </a:solidFill>
              </a:ln>
            </c:spPr>
            <c:extLst>
              <c:ext xmlns:c16="http://schemas.microsoft.com/office/drawing/2014/chart" uri="{C3380CC4-5D6E-409C-BE32-E72D297353CC}">
                <c16:uniqueId val="{00000007-F38E-404E-BD7F-061C7D30C139}"/>
              </c:ext>
            </c:extLst>
          </c:dPt>
          <c:dPt>
            <c:idx val="4"/>
            <c:bubble3D val="0"/>
            <c:spPr>
              <a:solidFill>
                <a:schemeClr val="tx1">
                  <a:lumMod val="50000"/>
                  <a:lumOff val="50000"/>
                </a:schemeClr>
              </a:solidFill>
              <a:ln>
                <a:solidFill>
                  <a:schemeClr val="bg1"/>
                </a:solidFill>
              </a:ln>
            </c:spPr>
            <c:extLst>
              <c:ext xmlns:c16="http://schemas.microsoft.com/office/drawing/2014/chart" uri="{C3380CC4-5D6E-409C-BE32-E72D297353CC}">
                <c16:uniqueId val="{00000009-F38E-404E-BD7F-061C7D30C139}"/>
              </c:ext>
            </c:extLst>
          </c:dPt>
          <c:dLbls>
            <c:dLbl>
              <c:idx val="0"/>
              <c:layout>
                <c:manualLayout>
                  <c:x val="5.79730691483685E-2"/>
                  <c:y val="-0.12160982852948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38E-404E-BD7F-061C7D30C139}"/>
                </c:ext>
              </c:extLst>
            </c:dLbl>
            <c:dLbl>
              <c:idx val="1"/>
              <c:layout>
                <c:manualLayout>
                  <c:x val="0.16666661404185701"/>
                  <c:y val="-3.312795200895959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38E-404E-BD7F-061C7D30C139}"/>
                </c:ext>
              </c:extLst>
            </c:dLbl>
            <c:dLbl>
              <c:idx val="2"/>
              <c:layout>
                <c:manualLayout>
                  <c:x val="8.5378436701983498E-3"/>
                  <c:y val="0.15473231861642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38E-404E-BD7F-061C7D30C139}"/>
                </c:ext>
              </c:extLst>
            </c:dLbl>
            <c:dLbl>
              <c:idx val="3"/>
              <c:layout>
                <c:manualLayout>
                  <c:x val="-0.12570498826361501"/>
                  <c:y val="-8.057634251838320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F38E-404E-BD7F-061C7D30C139}"/>
                </c:ext>
              </c:extLst>
            </c:dLbl>
            <c:dLbl>
              <c:idx val="4"/>
              <c:layout>
                <c:manualLayout>
                  <c:x val="-1.25000236811644E-2"/>
                  <c:y val="-0.1411768807620459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F38E-404E-BD7F-061C7D30C139}"/>
                </c:ext>
              </c:extLst>
            </c:dLbl>
            <c:spPr>
              <a:noFill/>
              <a:ln>
                <a:noFill/>
              </a:ln>
              <a:effectLst/>
            </c:sp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Φύλλο1!$A$2:$A$6</c:f>
              <c:strCache>
                <c:ptCount val="5"/>
                <c:pt idx="0">
                  <c:v>Επαρκή</c:v>
                </c:pt>
                <c:pt idx="1">
                  <c:v>Μάλλον επαρκή</c:v>
                </c:pt>
                <c:pt idx="2">
                  <c:v>Μάλλον Ανεπαρκή</c:v>
                </c:pt>
                <c:pt idx="3">
                  <c:v>Εντελώς Ανεπαρκή</c:v>
                </c:pt>
                <c:pt idx="4">
                  <c:v>ΔΑ</c:v>
                </c:pt>
              </c:strCache>
            </c:strRef>
          </c:cat>
          <c:val>
            <c:numRef>
              <c:f>Φύλλο1!$B$2:$B$6</c:f>
              <c:numCache>
                <c:formatCode>General</c:formatCode>
                <c:ptCount val="5"/>
                <c:pt idx="0">
                  <c:v>17</c:v>
                </c:pt>
                <c:pt idx="1">
                  <c:v>23.1</c:v>
                </c:pt>
                <c:pt idx="2">
                  <c:v>20</c:v>
                </c:pt>
                <c:pt idx="3">
                  <c:v>34.6</c:v>
                </c:pt>
                <c:pt idx="4">
                  <c:v>5.2</c:v>
                </c:pt>
              </c:numCache>
            </c:numRef>
          </c:val>
          <c:extLst>
            <c:ext xmlns:c16="http://schemas.microsoft.com/office/drawing/2014/chart" uri="{C3380CC4-5D6E-409C-BE32-E72D297353CC}">
              <c16:uniqueId val="{0000000A-F38E-404E-BD7F-061C7D30C139}"/>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n-US"/>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575230359997299"/>
          <c:y val="0.12881115492231399"/>
          <c:w val="0.5415100815453"/>
          <c:h val="0.733658581033649"/>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c:ext xmlns:c16="http://schemas.microsoft.com/office/drawing/2014/chart" uri="{C3380CC4-5D6E-409C-BE32-E72D297353CC}">
                <c16:uniqueId val="{00000001-61C9-4E08-AC8B-3FF56929E8D4}"/>
              </c:ext>
            </c:extLst>
          </c:dPt>
          <c:dPt>
            <c:idx val="1"/>
            <c:bubble3D val="0"/>
            <c:spPr>
              <a:solidFill>
                <a:schemeClr val="accent3">
                  <a:lumMod val="75000"/>
                </a:schemeClr>
              </a:solidFill>
              <a:ln>
                <a:solidFill>
                  <a:schemeClr val="bg1"/>
                </a:solidFill>
              </a:ln>
            </c:spPr>
            <c:extLst>
              <c:ext xmlns:c16="http://schemas.microsoft.com/office/drawing/2014/chart" uri="{C3380CC4-5D6E-409C-BE32-E72D297353CC}">
                <c16:uniqueId val="{00000003-61C9-4E08-AC8B-3FF56929E8D4}"/>
              </c:ext>
            </c:extLst>
          </c:dPt>
          <c:dPt>
            <c:idx val="2"/>
            <c:bubble3D val="0"/>
            <c:spPr>
              <a:solidFill>
                <a:schemeClr val="accent2">
                  <a:lumMod val="60000"/>
                  <a:lumOff val="40000"/>
                </a:schemeClr>
              </a:solidFill>
              <a:ln>
                <a:solidFill>
                  <a:schemeClr val="bg1"/>
                </a:solidFill>
              </a:ln>
            </c:spPr>
            <c:extLst>
              <c:ext xmlns:c16="http://schemas.microsoft.com/office/drawing/2014/chart" uri="{C3380CC4-5D6E-409C-BE32-E72D297353CC}">
                <c16:uniqueId val="{00000005-61C9-4E08-AC8B-3FF56929E8D4}"/>
              </c:ext>
            </c:extLst>
          </c:dPt>
          <c:dPt>
            <c:idx val="3"/>
            <c:bubble3D val="0"/>
            <c:spPr>
              <a:solidFill>
                <a:schemeClr val="accent2">
                  <a:lumMod val="75000"/>
                </a:schemeClr>
              </a:solidFill>
              <a:ln>
                <a:solidFill>
                  <a:schemeClr val="bg1"/>
                </a:solidFill>
              </a:ln>
            </c:spPr>
            <c:extLst>
              <c:ext xmlns:c16="http://schemas.microsoft.com/office/drawing/2014/chart" uri="{C3380CC4-5D6E-409C-BE32-E72D297353CC}">
                <c16:uniqueId val="{00000007-61C9-4E08-AC8B-3FF56929E8D4}"/>
              </c:ext>
            </c:extLst>
          </c:dPt>
          <c:dPt>
            <c:idx val="4"/>
            <c:bubble3D val="0"/>
            <c:spPr>
              <a:solidFill>
                <a:schemeClr val="tx1">
                  <a:lumMod val="50000"/>
                  <a:lumOff val="50000"/>
                </a:schemeClr>
              </a:solidFill>
              <a:ln>
                <a:solidFill>
                  <a:schemeClr val="bg1"/>
                </a:solidFill>
              </a:ln>
            </c:spPr>
            <c:extLst>
              <c:ext xmlns:c16="http://schemas.microsoft.com/office/drawing/2014/chart" uri="{C3380CC4-5D6E-409C-BE32-E72D297353CC}">
                <c16:uniqueId val="{00000009-61C9-4E08-AC8B-3FF56929E8D4}"/>
              </c:ext>
            </c:extLst>
          </c:dPt>
          <c:dPt>
            <c:idx val="5"/>
            <c:bubble3D val="0"/>
            <c:spPr>
              <a:solidFill>
                <a:schemeClr val="bg1">
                  <a:lumMod val="85000"/>
                </a:schemeClr>
              </a:solidFill>
              <a:ln>
                <a:solidFill>
                  <a:schemeClr val="bg1"/>
                </a:solidFill>
              </a:ln>
            </c:spPr>
            <c:extLst>
              <c:ext xmlns:c16="http://schemas.microsoft.com/office/drawing/2014/chart" uri="{C3380CC4-5D6E-409C-BE32-E72D297353CC}">
                <c16:uniqueId val="{0000000B-61C9-4E08-AC8B-3FF56929E8D4}"/>
              </c:ext>
            </c:extLst>
          </c:dPt>
          <c:dLbls>
            <c:dLbl>
              <c:idx val="0"/>
              <c:layout>
                <c:manualLayout>
                  <c:x val="3.2910469524642702E-2"/>
                  <c:y val="-0.13147506561679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1C9-4E08-AC8B-3FF56929E8D4}"/>
                </c:ext>
              </c:extLst>
            </c:dLbl>
            <c:dLbl>
              <c:idx val="1"/>
              <c:layout>
                <c:manualLayout>
                  <c:x val="0.157107979315356"/>
                  <c:y val="-9.367313305098219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1C9-4E08-AC8B-3FF56929E8D4}"/>
                </c:ext>
              </c:extLst>
            </c:dLbl>
            <c:dLbl>
              <c:idx val="2"/>
              <c:layout>
                <c:manualLayout>
                  <c:x val="0.13935490921604099"/>
                  <c:y val="4.417131016362559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1C9-4E08-AC8B-3FF56929E8D4}"/>
                </c:ext>
              </c:extLst>
            </c:dLbl>
            <c:dLbl>
              <c:idx val="3"/>
              <c:layout>
                <c:manualLayout>
                  <c:x val="1.5763212517361801E-2"/>
                  <c:y val="0.1695018892156250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61C9-4E08-AC8B-3FF56929E8D4}"/>
                </c:ext>
              </c:extLst>
            </c:dLbl>
            <c:dLbl>
              <c:idx val="4"/>
              <c:layout>
                <c:manualLayout>
                  <c:x val="-0.180732476525958"/>
                  <c:y val="-3.061588491548020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61C9-4E08-AC8B-3FF56929E8D4}"/>
                </c:ext>
              </c:extLst>
            </c:dLbl>
            <c:dLbl>
              <c:idx val="5"/>
              <c:layout>
                <c:manualLayout>
                  <c:x val="-1.147039471555E-2"/>
                  <c:y val="-0.15794418849333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61C9-4E08-AC8B-3FF56929E8D4}"/>
                </c:ext>
              </c:extLst>
            </c:dLbl>
            <c:spPr>
              <a:noFill/>
              <a:ln>
                <a:noFill/>
              </a:ln>
              <a:effectLst/>
            </c:spPr>
            <c:txPr>
              <a:bodyPr/>
              <a:lstStyle/>
              <a:p>
                <a:pPr>
                  <a:defRPr sz="800" b="1"/>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Φύλλο1!$A$2:$A$7</c:f>
              <c:strCache>
                <c:ptCount val="6"/>
                <c:pt idx="0">
                  <c:v>Θετικές</c:v>
                </c:pt>
                <c:pt idx="1">
                  <c:v>Μάλλον θετικές</c:v>
                </c:pt>
                <c:pt idx="2">
                  <c:v>Μάλλον αρνητικές</c:v>
                </c:pt>
                <c:pt idx="3">
                  <c:v>Αρνητικές</c:v>
                </c:pt>
                <c:pt idx="4">
                  <c:v>Δεν γνωρίζω τις νέες ρυθμίσεις</c:v>
                </c:pt>
                <c:pt idx="5">
                  <c:v>ΔΑ</c:v>
                </c:pt>
              </c:strCache>
            </c:strRef>
          </c:cat>
          <c:val>
            <c:numRef>
              <c:f>Φύλλο1!$B$2:$B$7</c:f>
              <c:numCache>
                <c:formatCode>General</c:formatCode>
                <c:ptCount val="6"/>
                <c:pt idx="0">
                  <c:v>12.4</c:v>
                </c:pt>
                <c:pt idx="1">
                  <c:v>10.7</c:v>
                </c:pt>
                <c:pt idx="2">
                  <c:v>10.4</c:v>
                </c:pt>
                <c:pt idx="3">
                  <c:v>31.3</c:v>
                </c:pt>
                <c:pt idx="4">
                  <c:v>32.300000000000011</c:v>
                </c:pt>
                <c:pt idx="5">
                  <c:v>2.7</c:v>
                </c:pt>
              </c:numCache>
            </c:numRef>
          </c:val>
          <c:extLst>
            <c:ext xmlns:c16="http://schemas.microsoft.com/office/drawing/2014/chart" uri="{C3380CC4-5D6E-409C-BE32-E72D297353CC}">
              <c16:uniqueId val="{0000000C-61C9-4E08-AC8B-3FF56929E8D4}"/>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1100">
          <a:latin typeface="Microsoft JhengHei UI" panose="020B0604030504040204" pitchFamily="34" charset="-120"/>
          <a:ea typeface="Microsoft JhengHei UI" panose="020B0604030504040204" pitchFamily="34" charset="-120"/>
        </a:defRPr>
      </a:pPr>
      <a:endParaRPr lang="en-US"/>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575230359997299"/>
          <c:y val="0.12881115492231399"/>
          <c:w val="0.5415100815453"/>
          <c:h val="0.733658581033649"/>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c:ext xmlns:c16="http://schemas.microsoft.com/office/drawing/2014/chart" uri="{C3380CC4-5D6E-409C-BE32-E72D297353CC}">
                <c16:uniqueId val="{00000001-F7EF-4661-AE7A-C1C31D6F8EC7}"/>
              </c:ext>
            </c:extLst>
          </c:dPt>
          <c:dPt>
            <c:idx val="1"/>
            <c:bubble3D val="0"/>
            <c:spPr>
              <a:solidFill>
                <a:schemeClr val="accent3">
                  <a:lumMod val="75000"/>
                </a:schemeClr>
              </a:solidFill>
              <a:ln>
                <a:solidFill>
                  <a:schemeClr val="bg1"/>
                </a:solidFill>
              </a:ln>
            </c:spPr>
            <c:extLst>
              <c:ext xmlns:c16="http://schemas.microsoft.com/office/drawing/2014/chart" uri="{C3380CC4-5D6E-409C-BE32-E72D297353CC}">
                <c16:uniqueId val="{00000003-F7EF-4661-AE7A-C1C31D6F8EC7}"/>
              </c:ext>
            </c:extLst>
          </c:dPt>
          <c:dPt>
            <c:idx val="2"/>
            <c:bubble3D val="0"/>
            <c:spPr>
              <a:solidFill>
                <a:schemeClr val="accent2">
                  <a:lumMod val="60000"/>
                  <a:lumOff val="40000"/>
                </a:schemeClr>
              </a:solidFill>
              <a:ln>
                <a:solidFill>
                  <a:schemeClr val="bg1"/>
                </a:solidFill>
              </a:ln>
            </c:spPr>
            <c:extLst>
              <c:ext xmlns:c16="http://schemas.microsoft.com/office/drawing/2014/chart" uri="{C3380CC4-5D6E-409C-BE32-E72D297353CC}">
                <c16:uniqueId val="{00000005-F7EF-4661-AE7A-C1C31D6F8EC7}"/>
              </c:ext>
            </c:extLst>
          </c:dPt>
          <c:dPt>
            <c:idx val="3"/>
            <c:bubble3D val="0"/>
            <c:spPr>
              <a:solidFill>
                <a:schemeClr val="accent2">
                  <a:lumMod val="75000"/>
                </a:schemeClr>
              </a:solidFill>
              <a:ln>
                <a:solidFill>
                  <a:schemeClr val="bg1"/>
                </a:solidFill>
              </a:ln>
            </c:spPr>
            <c:extLst>
              <c:ext xmlns:c16="http://schemas.microsoft.com/office/drawing/2014/chart" uri="{C3380CC4-5D6E-409C-BE32-E72D297353CC}">
                <c16:uniqueId val="{00000007-F7EF-4661-AE7A-C1C31D6F8EC7}"/>
              </c:ext>
            </c:extLst>
          </c:dPt>
          <c:dPt>
            <c:idx val="4"/>
            <c:bubble3D val="0"/>
            <c:spPr>
              <a:solidFill>
                <a:schemeClr val="tx1">
                  <a:lumMod val="50000"/>
                  <a:lumOff val="50000"/>
                </a:schemeClr>
              </a:solidFill>
              <a:ln>
                <a:solidFill>
                  <a:schemeClr val="bg1"/>
                </a:solidFill>
              </a:ln>
            </c:spPr>
            <c:extLst>
              <c:ext xmlns:c16="http://schemas.microsoft.com/office/drawing/2014/chart" uri="{C3380CC4-5D6E-409C-BE32-E72D297353CC}">
                <c16:uniqueId val="{00000009-F7EF-4661-AE7A-C1C31D6F8EC7}"/>
              </c:ext>
            </c:extLst>
          </c:dPt>
          <c:dPt>
            <c:idx val="5"/>
            <c:bubble3D val="0"/>
            <c:spPr>
              <a:solidFill>
                <a:schemeClr val="bg1">
                  <a:lumMod val="85000"/>
                </a:schemeClr>
              </a:solidFill>
              <a:ln>
                <a:solidFill>
                  <a:schemeClr val="bg1"/>
                </a:solidFill>
              </a:ln>
            </c:spPr>
            <c:extLst>
              <c:ext xmlns:c16="http://schemas.microsoft.com/office/drawing/2014/chart" uri="{C3380CC4-5D6E-409C-BE32-E72D297353CC}">
                <c16:uniqueId val="{0000000B-F7EF-4661-AE7A-C1C31D6F8EC7}"/>
              </c:ext>
            </c:extLst>
          </c:dPt>
          <c:dLbls>
            <c:dLbl>
              <c:idx val="0"/>
              <c:layout>
                <c:manualLayout>
                  <c:x val="5.2237812690475303E-2"/>
                  <c:y val="-8.5387877839773293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7EF-4661-AE7A-C1C31D6F8EC7}"/>
                </c:ext>
              </c:extLst>
            </c:dLbl>
            <c:dLbl>
              <c:idx val="1"/>
              <c:layout>
                <c:manualLayout>
                  <c:x val="0.12983978306029301"/>
                  <c:y val="-0.1082611117811590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7EF-4661-AE7A-C1C31D6F8EC7}"/>
                </c:ext>
              </c:extLst>
            </c:dLbl>
            <c:dLbl>
              <c:idx val="2"/>
              <c:layout>
                <c:manualLayout>
                  <c:x val="0.14840964784615199"/>
                  <c:y val="-9.3882495457298602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7EF-4661-AE7A-C1C31D6F8EC7}"/>
                </c:ext>
              </c:extLst>
            </c:dLbl>
            <c:dLbl>
              <c:idx val="3"/>
              <c:layout>
                <c:manualLayout>
                  <c:x val="0.11708503250471999"/>
                  <c:y val="6.683816669495970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F7EF-4661-AE7A-C1C31D6F8EC7}"/>
                </c:ext>
              </c:extLst>
            </c:dLbl>
            <c:dLbl>
              <c:idx val="4"/>
              <c:layout>
                <c:manualLayout>
                  <c:x val="-0.14716217636798001"/>
                  <c:y val="-3.0615884915480202E-2"/>
                </c:manualLayout>
              </c:layout>
              <c:showLegendKey val="0"/>
              <c:showVal val="1"/>
              <c:showCatName val="1"/>
              <c:showSerName val="0"/>
              <c:showPercent val="0"/>
              <c:showBubbleSize val="0"/>
              <c:separator>
</c:separator>
              <c:extLst>
                <c:ext xmlns:c15="http://schemas.microsoft.com/office/drawing/2012/chart" uri="{CE6537A1-D6FC-4f65-9D91-7224C49458BB}">
                  <c15:layout>
                    <c:manualLayout>
                      <c:w val="0.25385086639051629"/>
                      <c:h val="0.39635302698760028"/>
                    </c:manualLayout>
                  </c15:layout>
                </c:ext>
                <c:ext xmlns:c16="http://schemas.microsoft.com/office/drawing/2014/chart" uri="{C3380CC4-5D6E-409C-BE32-E72D297353CC}">
                  <c16:uniqueId val="{00000009-F7EF-4661-AE7A-C1C31D6F8EC7}"/>
                </c:ext>
              </c:extLst>
            </c:dLbl>
            <c:dLbl>
              <c:idx val="5"/>
              <c:layout>
                <c:manualLayout>
                  <c:x val="-1.147039471555E-2"/>
                  <c:y val="-0.15794418849333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F7EF-4661-AE7A-C1C31D6F8EC7}"/>
                </c:ext>
              </c:extLst>
            </c:dLbl>
            <c:spPr>
              <a:noFill/>
              <a:ln>
                <a:noFill/>
              </a:ln>
              <a:effectLst/>
            </c:spPr>
            <c:txPr>
              <a:bodyPr/>
              <a:lstStyle/>
              <a:p>
                <a:pPr>
                  <a:defRPr sz="800" b="1"/>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Φύλλο1!$A$2:$A$7</c:f>
              <c:strCache>
                <c:ptCount val="6"/>
                <c:pt idx="0">
                  <c:v>Θετικό</c:v>
                </c:pt>
                <c:pt idx="1">
                  <c:v>Μάλλον θετικό</c:v>
                </c:pt>
                <c:pt idx="2">
                  <c:v>Μάλλον αρνητικό</c:v>
                </c:pt>
                <c:pt idx="3">
                  <c:v>Αρνητικό</c:v>
                </c:pt>
                <c:pt idx="4">
                  <c:v>Δεν γνωρίζω το νέο ασφαλιστικό νομοσχέδιο</c:v>
                </c:pt>
                <c:pt idx="5">
                  <c:v>ΔΑ</c:v>
                </c:pt>
              </c:strCache>
            </c:strRef>
          </c:cat>
          <c:val>
            <c:numRef>
              <c:f>Φύλλο1!$B$2:$B$7</c:f>
              <c:numCache>
                <c:formatCode>General</c:formatCode>
                <c:ptCount val="6"/>
                <c:pt idx="0">
                  <c:v>10.6</c:v>
                </c:pt>
                <c:pt idx="1">
                  <c:v>7</c:v>
                </c:pt>
                <c:pt idx="2">
                  <c:v>3.9</c:v>
                </c:pt>
                <c:pt idx="3">
                  <c:v>20.399999999999999</c:v>
                </c:pt>
                <c:pt idx="4">
                  <c:v>55.6</c:v>
                </c:pt>
                <c:pt idx="5">
                  <c:v>2.6</c:v>
                </c:pt>
              </c:numCache>
            </c:numRef>
          </c:val>
          <c:extLst>
            <c:ext xmlns:c16="http://schemas.microsoft.com/office/drawing/2014/chart" uri="{C3380CC4-5D6E-409C-BE32-E72D297353CC}">
              <c16:uniqueId val="{0000000C-F7EF-4661-AE7A-C1C31D6F8EC7}"/>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1100">
          <a:latin typeface="Microsoft JhengHei UI" panose="020B0604030504040204" pitchFamily="34" charset="-120"/>
          <a:ea typeface="Microsoft JhengHei UI" panose="020B0604030504040204" pitchFamily="34" charset="-12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110878465436"/>
          <c:y val="6.5662797304976095E-2"/>
          <c:w val="0.75971758413064105"/>
          <c:h val="0.88670617203777402"/>
        </c:manualLayout>
      </c:layout>
      <c:barChart>
        <c:barDir val="bar"/>
        <c:grouping val="percentStacked"/>
        <c:varyColors val="0"/>
        <c:ser>
          <c:idx val="0"/>
          <c:order val="0"/>
          <c:tx>
            <c:strRef>
              <c:f>Φύλλο1!$B$1</c:f>
              <c:strCache>
                <c:ptCount val="1"/>
                <c:pt idx="0">
                  <c:v>Βελτιώθηκε</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Φύλλο1!$B$2:$B$26</c:f>
              <c:numCache>
                <c:formatCode>General</c:formatCode>
                <c:ptCount val="25"/>
                <c:pt idx="1">
                  <c:v>19</c:v>
                </c:pt>
                <c:pt idx="2">
                  <c:v>23.3</c:v>
                </c:pt>
                <c:pt idx="3">
                  <c:v>19.3</c:v>
                </c:pt>
                <c:pt idx="5">
                  <c:v>23.2</c:v>
                </c:pt>
                <c:pt idx="6">
                  <c:v>20</c:v>
                </c:pt>
                <c:pt idx="7">
                  <c:v>22.4</c:v>
                </c:pt>
                <c:pt idx="8">
                  <c:v>19.399999999999999</c:v>
                </c:pt>
                <c:pt idx="10">
                  <c:v>14.9</c:v>
                </c:pt>
                <c:pt idx="11">
                  <c:v>18.5</c:v>
                </c:pt>
                <c:pt idx="12">
                  <c:v>22.8</c:v>
                </c:pt>
                <c:pt idx="13">
                  <c:v>36.300000000000011</c:v>
                </c:pt>
                <c:pt idx="15">
                  <c:v>16.2</c:v>
                </c:pt>
                <c:pt idx="16">
                  <c:v>23.5</c:v>
                </c:pt>
                <c:pt idx="17">
                  <c:v>25</c:v>
                </c:pt>
                <c:pt idx="18">
                  <c:v>18.899999999999999</c:v>
                </c:pt>
                <c:pt idx="20">
                  <c:v>13.4</c:v>
                </c:pt>
                <c:pt idx="21">
                  <c:v>20.6</c:v>
                </c:pt>
                <c:pt idx="22">
                  <c:v>22.3</c:v>
                </c:pt>
                <c:pt idx="23">
                  <c:v>19</c:v>
                </c:pt>
                <c:pt idx="24">
                  <c:v>30.5</c:v>
                </c:pt>
              </c:numCache>
            </c:numRef>
          </c:val>
          <c:extLst>
            <c:ext xmlns:c16="http://schemas.microsoft.com/office/drawing/2014/chart" uri="{C3380CC4-5D6E-409C-BE32-E72D297353CC}">
              <c16:uniqueId val="{00000000-B582-41B3-A718-1A566164DDB0}"/>
            </c:ext>
          </c:extLst>
        </c:ser>
        <c:ser>
          <c:idx val="1"/>
          <c:order val="1"/>
          <c:tx>
            <c:strRef>
              <c:f>Φύλλο1!$C$1</c:f>
              <c:strCache>
                <c:ptCount val="1"/>
                <c:pt idx="0">
                  <c:v>Επιδεινώθηκε</c:v>
                </c:pt>
              </c:strCache>
            </c:strRef>
          </c:tx>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Φύλλο1!$C$2:$C$26</c:f>
              <c:numCache>
                <c:formatCode>General</c:formatCode>
                <c:ptCount val="25"/>
                <c:pt idx="1">
                  <c:v>54.1</c:v>
                </c:pt>
                <c:pt idx="2">
                  <c:v>47.7</c:v>
                </c:pt>
                <c:pt idx="3">
                  <c:v>56.2</c:v>
                </c:pt>
                <c:pt idx="5">
                  <c:v>44.4</c:v>
                </c:pt>
                <c:pt idx="6">
                  <c:v>53.3</c:v>
                </c:pt>
                <c:pt idx="7">
                  <c:v>51.3</c:v>
                </c:pt>
                <c:pt idx="8">
                  <c:v>55.3</c:v>
                </c:pt>
                <c:pt idx="10">
                  <c:v>63.9</c:v>
                </c:pt>
                <c:pt idx="11">
                  <c:v>55.5</c:v>
                </c:pt>
                <c:pt idx="12">
                  <c:v>39</c:v>
                </c:pt>
                <c:pt idx="13">
                  <c:v>29.2</c:v>
                </c:pt>
                <c:pt idx="15">
                  <c:v>53.7</c:v>
                </c:pt>
                <c:pt idx="16">
                  <c:v>53.9</c:v>
                </c:pt>
                <c:pt idx="17">
                  <c:v>47.7</c:v>
                </c:pt>
                <c:pt idx="18">
                  <c:v>58.9</c:v>
                </c:pt>
                <c:pt idx="20">
                  <c:v>65</c:v>
                </c:pt>
                <c:pt idx="21">
                  <c:v>50.9</c:v>
                </c:pt>
                <c:pt idx="22">
                  <c:v>49.7</c:v>
                </c:pt>
                <c:pt idx="23">
                  <c:v>51.9</c:v>
                </c:pt>
                <c:pt idx="24">
                  <c:v>39.700000000000003</c:v>
                </c:pt>
              </c:numCache>
            </c:numRef>
          </c:val>
          <c:extLst>
            <c:ext xmlns:c16="http://schemas.microsoft.com/office/drawing/2014/chart" uri="{C3380CC4-5D6E-409C-BE32-E72D297353CC}">
              <c16:uniqueId val="{00000001-B582-41B3-A718-1A566164DDB0}"/>
            </c:ext>
          </c:extLst>
        </c:ser>
        <c:ser>
          <c:idx val="2"/>
          <c:order val="2"/>
          <c:tx>
            <c:strRef>
              <c:f>Φύλλο1!$D$1</c:f>
              <c:strCache>
                <c:ptCount val="1"/>
                <c:pt idx="0">
                  <c:v>Παρέμεινε αμετάβλητη</c:v>
                </c:pt>
              </c:strCache>
            </c:strRef>
          </c:tx>
          <c:spPr>
            <a:solidFill>
              <a:schemeClr val="accent1">
                <a:lumMod val="75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Φύλλο1!$D$2:$D$26</c:f>
              <c:numCache>
                <c:formatCode>General</c:formatCode>
                <c:ptCount val="25"/>
                <c:pt idx="1">
                  <c:v>26.2</c:v>
                </c:pt>
                <c:pt idx="2">
                  <c:v>29</c:v>
                </c:pt>
                <c:pt idx="3">
                  <c:v>23.5</c:v>
                </c:pt>
                <c:pt idx="5">
                  <c:v>29.3</c:v>
                </c:pt>
                <c:pt idx="6">
                  <c:v>26.7</c:v>
                </c:pt>
                <c:pt idx="7">
                  <c:v>26.3</c:v>
                </c:pt>
                <c:pt idx="8">
                  <c:v>25</c:v>
                </c:pt>
                <c:pt idx="10">
                  <c:v>20.100000000000001</c:v>
                </c:pt>
                <c:pt idx="11">
                  <c:v>26.1</c:v>
                </c:pt>
                <c:pt idx="12">
                  <c:v>38.200000000000003</c:v>
                </c:pt>
                <c:pt idx="13">
                  <c:v>34.5</c:v>
                </c:pt>
                <c:pt idx="15">
                  <c:v>29.7</c:v>
                </c:pt>
                <c:pt idx="16">
                  <c:v>22.5</c:v>
                </c:pt>
                <c:pt idx="17">
                  <c:v>26.4</c:v>
                </c:pt>
                <c:pt idx="18">
                  <c:v>21.1</c:v>
                </c:pt>
                <c:pt idx="20">
                  <c:v>20.9</c:v>
                </c:pt>
                <c:pt idx="21">
                  <c:v>27.9</c:v>
                </c:pt>
                <c:pt idx="22">
                  <c:v>26.9</c:v>
                </c:pt>
                <c:pt idx="23">
                  <c:v>29.1</c:v>
                </c:pt>
                <c:pt idx="24">
                  <c:v>29.8</c:v>
                </c:pt>
              </c:numCache>
            </c:numRef>
          </c:val>
          <c:extLst>
            <c:ext xmlns:c16="http://schemas.microsoft.com/office/drawing/2014/chart" uri="{C3380CC4-5D6E-409C-BE32-E72D297353CC}">
              <c16:uniqueId val="{00000002-B582-41B3-A718-1A566164DDB0}"/>
            </c:ext>
          </c:extLst>
        </c:ser>
        <c:dLbls>
          <c:showLegendKey val="0"/>
          <c:showVal val="0"/>
          <c:showCatName val="0"/>
          <c:showSerName val="0"/>
          <c:showPercent val="0"/>
          <c:showBubbleSize val="0"/>
        </c:dLbls>
        <c:gapWidth val="30"/>
        <c:overlap val="100"/>
        <c:axId val="2122807368"/>
        <c:axId val="2122810424"/>
      </c:barChart>
      <c:catAx>
        <c:axId val="2122807368"/>
        <c:scaling>
          <c:orientation val="maxMin"/>
        </c:scaling>
        <c:delete val="0"/>
        <c:axPos val="l"/>
        <c:numFmt formatCode="General" sourceLinked="0"/>
        <c:majorTickMark val="out"/>
        <c:minorTickMark val="none"/>
        <c:tickLblPos val="nextTo"/>
        <c:crossAx val="2122810424"/>
        <c:crosses val="autoZero"/>
        <c:auto val="1"/>
        <c:lblAlgn val="ctr"/>
        <c:lblOffset val="100"/>
        <c:noMultiLvlLbl val="0"/>
      </c:catAx>
      <c:valAx>
        <c:axId val="2122810424"/>
        <c:scaling>
          <c:orientation val="minMax"/>
        </c:scaling>
        <c:delete val="0"/>
        <c:axPos val="b"/>
        <c:majorGridlines/>
        <c:numFmt formatCode="0%" sourceLinked="1"/>
        <c:majorTickMark val="out"/>
        <c:minorTickMark val="none"/>
        <c:tickLblPos val="nextTo"/>
        <c:crossAx val="2122807368"/>
        <c:crosses val="max"/>
        <c:crossBetween val="between"/>
      </c:valAx>
    </c:plotArea>
    <c:legend>
      <c:legendPos val="r"/>
      <c:layout>
        <c:manualLayout>
          <c:xMode val="edge"/>
          <c:yMode val="edge"/>
          <c:x val="0.219953438139912"/>
          <c:y val="1.85910812409879E-3"/>
          <c:w val="0.75911858739280202"/>
          <c:h val="5.5806900754271797E-2"/>
        </c:manualLayout>
      </c:layout>
      <c:overlay val="0"/>
    </c:legend>
    <c:plotVisOnly val="1"/>
    <c:dispBlanksAs val="gap"/>
    <c:showDLblsOverMax val="0"/>
  </c:chart>
  <c:txPr>
    <a:bodyPr/>
    <a:lstStyle/>
    <a:p>
      <a:pPr>
        <a:defRPr sz="8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l-GR" sz="1200"/>
              <a:t>ΓΡΑΦΗΜΑ</a:t>
            </a:r>
            <a:r>
              <a:rPr lang="el-GR" sz="1200" baseline="0"/>
              <a:t> 4</a:t>
            </a:r>
          </a:p>
          <a:p>
            <a:pPr>
              <a:defRPr sz="1400"/>
            </a:pPr>
            <a:r>
              <a:rPr lang="el-GR" sz="1200"/>
              <a:t>ΚΥΚΛΟΣ</a:t>
            </a:r>
            <a:r>
              <a:rPr lang="el-GR" sz="1200" baseline="0"/>
              <a:t> ΕΡΓΑΣΙΩΝ</a:t>
            </a:r>
            <a:endParaRPr lang="el-GR" sz="1200"/>
          </a:p>
        </c:rich>
      </c:tx>
      <c:overlay val="0"/>
    </c:title>
    <c:autoTitleDeleted val="0"/>
    <c:plotArea>
      <c:layout>
        <c:manualLayout>
          <c:layoutTarget val="inner"/>
          <c:xMode val="edge"/>
          <c:yMode val="edge"/>
          <c:x val="0.10569367126364712"/>
          <c:y val="0.21495700968413431"/>
          <c:w val="0.87304618184806526"/>
          <c:h val="0.54998416146257578"/>
        </c:manualLayout>
      </c:layout>
      <c:lineChart>
        <c:grouping val="standard"/>
        <c:varyColors val="0"/>
        <c:ser>
          <c:idx val="0"/>
          <c:order val="0"/>
          <c:tx>
            <c:strRef>
              <c:f>'ΚΥΚΛΟΣ ΕΡΓΑΣΙΩΝ'!$A$3</c:f>
              <c:strCache>
                <c:ptCount val="1"/>
                <c:pt idx="0">
                  <c:v>ΑΠΟΤΙΜΗΣΗ</c:v>
                </c:pt>
              </c:strCache>
            </c:strRef>
          </c:tx>
          <c:dLbls>
            <c:spPr>
              <a:noFill/>
              <a:ln>
                <a:noFill/>
              </a:ln>
              <a:effectLst/>
            </c:spPr>
            <c:txPr>
              <a:bodyPr wrap="square" lIns="38100" tIns="19050" rIns="38100" bIns="19050" anchor="ctr">
                <a:spAutoFit/>
              </a:bodyPr>
              <a:lstStyle/>
              <a:p>
                <a:pPr>
                  <a:defRPr sz="9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'ΚΥΚΛΟΣ ΕΡΓΑΣΙΩΝ'!$B$2:$Y$2</c:f>
              <c:strCache>
                <c:ptCount val="24"/>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pt idx="21">
                  <c:v>2020Α</c:v>
                </c:pt>
                <c:pt idx="22">
                  <c:v>2020Β</c:v>
                </c:pt>
                <c:pt idx="23">
                  <c:v>2021Α</c:v>
                </c:pt>
              </c:strCache>
            </c:strRef>
          </c:cat>
          <c:val>
            <c:numRef>
              <c:f>'ΚΥΚΛΟΣ ΕΡΓΑΣΙΩΝ'!$B$3:$Y$3</c:f>
              <c:numCache>
                <c:formatCode>0.0</c:formatCode>
                <c:ptCount val="24"/>
                <c:pt idx="0">
                  <c:v>29.08726178535608</c:v>
                </c:pt>
                <c:pt idx="1">
                  <c:v>22.76830491474422</c:v>
                </c:pt>
                <c:pt idx="2">
                  <c:v>19.71971971971972</c:v>
                </c:pt>
                <c:pt idx="3">
                  <c:v>19.43605236656596</c:v>
                </c:pt>
                <c:pt idx="4">
                  <c:v>17.251755265797399</c:v>
                </c:pt>
                <c:pt idx="5">
                  <c:v>14.228052472250249</c:v>
                </c:pt>
                <c:pt idx="6">
                  <c:v>18.81881881881883</c:v>
                </c:pt>
                <c:pt idx="7">
                  <c:v>24.2</c:v>
                </c:pt>
                <c:pt idx="8">
                  <c:v>32.997987927565397</c:v>
                </c:pt>
                <c:pt idx="9">
                  <c:v>34.984833164812933</c:v>
                </c:pt>
                <c:pt idx="10">
                  <c:v>46.586345381526101</c:v>
                </c:pt>
                <c:pt idx="11">
                  <c:v>24.672708962739179</c:v>
                </c:pt>
                <c:pt idx="12">
                  <c:v>36.78391959798995</c:v>
                </c:pt>
                <c:pt idx="13">
                  <c:v>33.299798792756548</c:v>
                </c:pt>
                <c:pt idx="14">
                  <c:v>39.717741935483872</c:v>
                </c:pt>
                <c:pt idx="15">
                  <c:v>41.967871485943768</c:v>
                </c:pt>
                <c:pt idx="16">
                  <c:v>53.3</c:v>
                </c:pt>
                <c:pt idx="17">
                  <c:v>51.769464105156729</c:v>
                </c:pt>
                <c:pt idx="18">
                  <c:v>62.324649298597187</c:v>
                </c:pt>
                <c:pt idx="19">
                  <c:v>58.434959349593498</c:v>
                </c:pt>
                <c:pt idx="20">
                  <c:v>69.849246231155774</c:v>
                </c:pt>
                <c:pt idx="21">
                  <c:v>17.16341212744091</c:v>
                </c:pt>
                <c:pt idx="22" formatCode="General">
                  <c:v>28.4</c:v>
                </c:pt>
                <c:pt idx="23" formatCode="General">
                  <c:v>43.9</c:v>
                </c:pt>
              </c:numCache>
            </c:numRef>
          </c:val>
          <c:smooth val="0"/>
          <c:extLst>
            <c:ext xmlns:c16="http://schemas.microsoft.com/office/drawing/2014/chart" uri="{C3380CC4-5D6E-409C-BE32-E72D297353CC}">
              <c16:uniqueId val="{00000000-AC31-4B09-8294-167AEB5D478B}"/>
            </c:ext>
          </c:extLst>
        </c:ser>
        <c:dLbls>
          <c:showLegendKey val="0"/>
          <c:showVal val="0"/>
          <c:showCatName val="0"/>
          <c:showSerName val="0"/>
          <c:showPercent val="0"/>
          <c:showBubbleSize val="0"/>
        </c:dLbls>
        <c:marker val="1"/>
        <c:smooth val="0"/>
        <c:axId val="2122864664"/>
        <c:axId val="2122867672"/>
      </c:lineChart>
      <c:catAx>
        <c:axId val="2122864664"/>
        <c:scaling>
          <c:orientation val="minMax"/>
        </c:scaling>
        <c:delete val="0"/>
        <c:axPos val="b"/>
        <c:numFmt formatCode="General" sourceLinked="0"/>
        <c:majorTickMark val="none"/>
        <c:minorTickMark val="none"/>
        <c:tickLblPos val="low"/>
        <c:txPr>
          <a:bodyPr rot="-3120000"/>
          <a:lstStyle/>
          <a:p>
            <a:pPr>
              <a:defRPr/>
            </a:pPr>
            <a:endParaRPr lang="en-US"/>
          </a:p>
        </c:txPr>
        <c:crossAx val="2122867672"/>
        <c:crosses val="autoZero"/>
        <c:auto val="1"/>
        <c:lblAlgn val="ctr"/>
        <c:lblOffset val="100"/>
        <c:noMultiLvlLbl val="0"/>
      </c:catAx>
      <c:valAx>
        <c:axId val="2122867672"/>
        <c:scaling>
          <c:orientation val="minMax"/>
        </c:scaling>
        <c:delete val="0"/>
        <c:axPos val="l"/>
        <c:majorGridlines/>
        <c:title>
          <c:tx>
            <c:rich>
              <a:bodyPr/>
              <a:lstStyle/>
              <a:p>
                <a:pPr>
                  <a:defRPr/>
                </a:pPr>
                <a:r>
                  <a:rPr lang="el-GR"/>
                  <a:t>ΔΕΙΚΤΗΣ ΚΛΙΜΑΤΟΣ</a:t>
                </a:r>
              </a:p>
            </c:rich>
          </c:tx>
          <c:overlay val="0"/>
        </c:title>
        <c:numFmt formatCode="0.0" sourceLinked="1"/>
        <c:majorTickMark val="none"/>
        <c:minorTickMark val="none"/>
        <c:tickLblPos val="nextTo"/>
        <c:crossAx val="212286466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1878758956749"/>
          <c:y val="0.14493626852107699"/>
          <c:w val="0.566753406442144"/>
          <c:h val="0.74046416779767099"/>
        </c:manualLayout>
      </c:layout>
      <c:doughnutChart>
        <c:varyColors val="1"/>
        <c:ser>
          <c:idx val="0"/>
          <c:order val="0"/>
          <c:spPr>
            <a:ln w="12700">
              <a:solidFill>
                <a:schemeClr val="bg1"/>
              </a:solidFill>
            </a:ln>
            <a:effectLst/>
          </c:spPr>
          <c:dPt>
            <c:idx val="0"/>
            <c:bubble3D val="0"/>
            <c:spPr>
              <a:solidFill>
                <a:schemeClr val="accent3"/>
              </a:solidFill>
              <a:ln w="12700">
                <a:solidFill>
                  <a:schemeClr val="bg1"/>
                </a:solidFill>
              </a:ln>
              <a:effectLst/>
            </c:spPr>
            <c:extLst>
              <c:ext xmlns:c16="http://schemas.microsoft.com/office/drawing/2014/chart" uri="{C3380CC4-5D6E-409C-BE32-E72D297353CC}">
                <c16:uniqueId val="{00000001-C10C-4FA2-B2F4-F5C9B4551738}"/>
              </c:ext>
            </c:extLst>
          </c:dPt>
          <c:dPt>
            <c:idx val="1"/>
            <c:bubble3D val="0"/>
            <c:spPr>
              <a:solidFill>
                <a:schemeClr val="accent2"/>
              </a:solidFill>
              <a:ln w="12700">
                <a:solidFill>
                  <a:schemeClr val="bg1"/>
                </a:solidFill>
              </a:ln>
              <a:effectLst/>
            </c:spPr>
            <c:extLst>
              <c:ext xmlns:c16="http://schemas.microsoft.com/office/drawing/2014/chart" uri="{C3380CC4-5D6E-409C-BE32-E72D297353CC}">
                <c16:uniqueId val="{00000003-C10C-4FA2-B2F4-F5C9B4551738}"/>
              </c:ext>
            </c:extLst>
          </c:dPt>
          <c:dPt>
            <c:idx val="2"/>
            <c:bubble3D val="0"/>
            <c:spPr>
              <a:solidFill>
                <a:srgbClr val="4F81BD"/>
              </a:solidFill>
              <a:ln w="12700">
                <a:solidFill>
                  <a:schemeClr val="bg1"/>
                </a:solidFill>
              </a:ln>
              <a:effectLst/>
            </c:spPr>
            <c:extLst>
              <c:ext xmlns:c16="http://schemas.microsoft.com/office/drawing/2014/chart" uri="{C3380CC4-5D6E-409C-BE32-E72D297353CC}">
                <c16:uniqueId val="{00000005-C10C-4FA2-B2F4-F5C9B4551738}"/>
              </c:ext>
            </c:extLst>
          </c:dPt>
          <c:dPt>
            <c:idx val="3"/>
            <c:bubble3D val="0"/>
            <c:spPr>
              <a:solidFill>
                <a:schemeClr val="bg1">
                  <a:lumMod val="65000"/>
                </a:schemeClr>
              </a:solidFill>
              <a:ln w="12700">
                <a:solidFill>
                  <a:schemeClr val="bg1"/>
                </a:solidFill>
              </a:ln>
              <a:effectLst/>
            </c:spPr>
            <c:extLst>
              <c:ext xmlns:c16="http://schemas.microsoft.com/office/drawing/2014/chart" uri="{C3380CC4-5D6E-409C-BE32-E72D297353CC}">
                <c16:uniqueId val="{00000007-C10C-4FA2-B2F4-F5C9B4551738}"/>
              </c:ext>
            </c:extLst>
          </c:dPt>
          <c:dLbls>
            <c:dLbl>
              <c:idx val="0"/>
              <c:layout>
                <c:manualLayout>
                  <c:x val="7.1552542764638197E-2"/>
                  <c:y val="-0.1574065326567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0C-4FA2-B2F4-F5C9B4551738}"/>
                </c:ext>
              </c:extLst>
            </c:dLbl>
            <c:dLbl>
              <c:idx val="1"/>
              <c:layout>
                <c:manualLayout>
                  <c:x val="0.173100638142483"/>
                  <c:y val="6.56008216364258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0C-4FA2-B2F4-F5C9B4551738}"/>
                </c:ext>
              </c:extLst>
            </c:dLbl>
            <c:dLbl>
              <c:idx val="2"/>
              <c:layout>
                <c:manualLayout>
                  <c:x val="-0.138836403420628"/>
                  <c:y val="-0.11821209393001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10C-4FA2-B2F4-F5C9B4551738}"/>
                </c:ext>
              </c:extLst>
            </c:dLbl>
            <c:dLbl>
              <c:idx val="3"/>
              <c:layout>
                <c:manualLayout>
                  <c:x val="-2.47701930709774E-2"/>
                  <c:y val="-0.1554374950061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10C-4FA2-B2F4-F5C9B455173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Sheet1!$B$1:$E$1</c:f>
              <c:strCache>
                <c:ptCount val="4"/>
                <c:pt idx="0">
                  <c:v>αυξήθηκε</c:v>
                </c:pt>
                <c:pt idx="1">
                  <c:v>μειώθηκε</c:v>
                </c:pt>
                <c:pt idx="2">
                  <c:v>αμετάβλητος</c:v>
                </c:pt>
                <c:pt idx="3">
                  <c:v>Δ.Α</c:v>
                </c:pt>
              </c:strCache>
            </c:strRef>
          </c:cat>
          <c:val>
            <c:numRef>
              <c:f>Sheet1!$B$2:$E$2</c:f>
              <c:numCache>
                <c:formatCode>General</c:formatCode>
                <c:ptCount val="4"/>
                <c:pt idx="0">
                  <c:v>20</c:v>
                </c:pt>
                <c:pt idx="1">
                  <c:v>55</c:v>
                </c:pt>
                <c:pt idx="2">
                  <c:v>23</c:v>
                </c:pt>
                <c:pt idx="3">
                  <c:v>2</c:v>
                </c:pt>
              </c:numCache>
            </c:numRef>
          </c:val>
          <c:extLst>
            <c:ext xmlns:c16="http://schemas.microsoft.com/office/drawing/2014/chart" uri="{C3380CC4-5D6E-409C-BE32-E72D297353CC}">
              <c16:uniqueId val="{00000008-C10C-4FA2-B2F4-F5C9B4551738}"/>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zero"/>
    <c:showDLblsOverMax val="0"/>
  </c:chart>
  <c:spPr>
    <a:no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110878465436"/>
          <c:y val="7.2811245561216598E-2"/>
          <c:w val="0.75728870208384702"/>
          <c:h val="0.86773752315886998"/>
        </c:manualLayout>
      </c:layout>
      <c:barChart>
        <c:barDir val="bar"/>
        <c:grouping val="percentStacked"/>
        <c:varyColors val="0"/>
        <c:ser>
          <c:idx val="0"/>
          <c:order val="0"/>
          <c:tx>
            <c:strRef>
              <c:f>Φύλλο1!$B$1</c:f>
              <c:strCache>
                <c:ptCount val="1"/>
                <c:pt idx="0">
                  <c:v>αυξήθηκε</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Φύλλο1!$B$2:$B$26</c:f>
              <c:numCache>
                <c:formatCode>General</c:formatCode>
                <c:ptCount val="25"/>
                <c:pt idx="1">
                  <c:v>20.3</c:v>
                </c:pt>
                <c:pt idx="2">
                  <c:v>22.8</c:v>
                </c:pt>
                <c:pt idx="3">
                  <c:v>18</c:v>
                </c:pt>
                <c:pt idx="5">
                  <c:v>23.2</c:v>
                </c:pt>
                <c:pt idx="6">
                  <c:v>27.8</c:v>
                </c:pt>
                <c:pt idx="7">
                  <c:v>22.4</c:v>
                </c:pt>
                <c:pt idx="8">
                  <c:v>17.899999999999999</c:v>
                </c:pt>
                <c:pt idx="10">
                  <c:v>14.1</c:v>
                </c:pt>
                <c:pt idx="11">
                  <c:v>13.4</c:v>
                </c:pt>
                <c:pt idx="12">
                  <c:v>25.2</c:v>
                </c:pt>
                <c:pt idx="13">
                  <c:v>40.700000000000003</c:v>
                </c:pt>
                <c:pt idx="15">
                  <c:v>19.899999999999999</c:v>
                </c:pt>
                <c:pt idx="16">
                  <c:v>21.6</c:v>
                </c:pt>
                <c:pt idx="17">
                  <c:v>21.8</c:v>
                </c:pt>
                <c:pt idx="18">
                  <c:v>17.399999999999999</c:v>
                </c:pt>
                <c:pt idx="20">
                  <c:v>14.6</c:v>
                </c:pt>
                <c:pt idx="21">
                  <c:v>20.6</c:v>
                </c:pt>
                <c:pt idx="22">
                  <c:v>17.7</c:v>
                </c:pt>
                <c:pt idx="23">
                  <c:v>25.3</c:v>
                </c:pt>
                <c:pt idx="24">
                  <c:v>29.8</c:v>
                </c:pt>
              </c:numCache>
            </c:numRef>
          </c:val>
          <c:extLst>
            <c:ext xmlns:c16="http://schemas.microsoft.com/office/drawing/2014/chart" uri="{C3380CC4-5D6E-409C-BE32-E72D297353CC}">
              <c16:uniqueId val="{00000000-C47C-4D9D-A531-A112D538548A}"/>
            </c:ext>
          </c:extLst>
        </c:ser>
        <c:ser>
          <c:idx val="1"/>
          <c:order val="1"/>
          <c:tx>
            <c:strRef>
              <c:f>Φύλλο1!$C$1</c:f>
              <c:strCache>
                <c:ptCount val="1"/>
                <c:pt idx="0">
                  <c:v>μειώθηκε</c:v>
                </c:pt>
              </c:strCache>
            </c:strRef>
          </c:tx>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Φύλλο1!$C$2:$C$26</c:f>
              <c:numCache>
                <c:formatCode>General</c:formatCode>
                <c:ptCount val="25"/>
                <c:pt idx="1">
                  <c:v>55.1</c:v>
                </c:pt>
                <c:pt idx="2">
                  <c:v>49.2</c:v>
                </c:pt>
                <c:pt idx="3">
                  <c:v>58.5</c:v>
                </c:pt>
                <c:pt idx="5">
                  <c:v>49.5</c:v>
                </c:pt>
                <c:pt idx="6">
                  <c:v>55.6</c:v>
                </c:pt>
                <c:pt idx="7">
                  <c:v>57.9</c:v>
                </c:pt>
                <c:pt idx="8">
                  <c:v>55.5</c:v>
                </c:pt>
                <c:pt idx="10">
                  <c:v>68.2</c:v>
                </c:pt>
                <c:pt idx="11">
                  <c:v>50.4</c:v>
                </c:pt>
                <c:pt idx="12">
                  <c:v>47.2</c:v>
                </c:pt>
                <c:pt idx="13">
                  <c:v>29.2</c:v>
                </c:pt>
                <c:pt idx="15">
                  <c:v>53.7</c:v>
                </c:pt>
                <c:pt idx="16">
                  <c:v>58.8</c:v>
                </c:pt>
                <c:pt idx="17">
                  <c:v>49.1</c:v>
                </c:pt>
                <c:pt idx="18">
                  <c:v>61.6</c:v>
                </c:pt>
                <c:pt idx="20">
                  <c:v>65.7</c:v>
                </c:pt>
                <c:pt idx="21">
                  <c:v>53.3</c:v>
                </c:pt>
                <c:pt idx="22">
                  <c:v>54.9</c:v>
                </c:pt>
                <c:pt idx="23">
                  <c:v>51.9</c:v>
                </c:pt>
                <c:pt idx="24">
                  <c:v>38.200000000000003</c:v>
                </c:pt>
              </c:numCache>
            </c:numRef>
          </c:val>
          <c:extLst>
            <c:ext xmlns:c16="http://schemas.microsoft.com/office/drawing/2014/chart" uri="{C3380CC4-5D6E-409C-BE32-E72D297353CC}">
              <c16:uniqueId val="{00000001-C47C-4D9D-A531-A112D538548A}"/>
            </c:ext>
          </c:extLst>
        </c:ser>
        <c:ser>
          <c:idx val="2"/>
          <c:order val="2"/>
          <c:tx>
            <c:strRef>
              <c:f>Φύλλο1!$D$1</c:f>
              <c:strCache>
                <c:ptCount val="1"/>
                <c:pt idx="0">
                  <c:v>αμετάβλητος/η</c:v>
                </c:pt>
              </c:strCache>
            </c:strRef>
          </c:tx>
          <c:spPr>
            <a:solidFill>
              <a:schemeClr val="accent1">
                <a:lumMod val="75000"/>
              </a:schemeClr>
            </a:solidFill>
          </c:spPr>
          <c:invertIfNegative val="0"/>
          <c:dLbls>
            <c:spPr>
              <a:noFill/>
              <a:ln>
                <a:noFill/>
              </a:ln>
              <a:effectLst/>
            </c:spPr>
            <c:txPr>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Φύλλο1!$D$2:$D$26</c:f>
              <c:numCache>
                <c:formatCode>General</c:formatCode>
                <c:ptCount val="25"/>
                <c:pt idx="1">
                  <c:v>22.6</c:v>
                </c:pt>
                <c:pt idx="2">
                  <c:v>25.9</c:v>
                </c:pt>
                <c:pt idx="3">
                  <c:v>21.6</c:v>
                </c:pt>
                <c:pt idx="5">
                  <c:v>22.2</c:v>
                </c:pt>
                <c:pt idx="6">
                  <c:v>15.6</c:v>
                </c:pt>
                <c:pt idx="7">
                  <c:v>19.7</c:v>
                </c:pt>
                <c:pt idx="8">
                  <c:v>24.8</c:v>
                </c:pt>
                <c:pt idx="10">
                  <c:v>15.8</c:v>
                </c:pt>
                <c:pt idx="11">
                  <c:v>33.6</c:v>
                </c:pt>
                <c:pt idx="12">
                  <c:v>27.6</c:v>
                </c:pt>
                <c:pt idx="13">
                  <c:v>30.1</c:v>
                </c:pt>
                <c:pt idx="15">
                  <c:v>24.7</c:v>
                </c:pt>
                <c:pt idx="16">
                  <c:v>18.600000000000001</c:v>
                </c:pt>
                <c:pt idx="17">
                  <c:v>26.4</c:v>
                </c:pt>
                <c:pt idx="18">
                  <c:v>18.899999999999999</c:v>
                </c:pt>
                <c:pt idx="20">
                  <c:v>17.3</c:v>
                </c:pt>
                <c:pt idx="21">
                  <c:v>23</c:v>
                </c:pt>
                <c:pt idx="22">
                  <c:v>26.3</c:v>
                </c:pt>
                <c:pt idx="23">
                  <c:v>21.5</c:v>
                </c:pt>
                <c:pt idx="24">
                  <c:v>30.5</c:v>
                </c:pt>
              </c:numCache>
            </c:numRef>
          </c:val>
          <c:extLst>
            <c:ext xmlns:c16="http://schemas.microsoft.com/office/drawing/2014/chart" uri="{C3380CC4-5D6E-409C-BE32-E72D297353CC}">
              <c16:uniqueId val="{00000002-C47C-4D9D-A531-A112D538548A}"/>
            </c:ext>
          </c:extLst>
        </c:ser>
        <c:ser>
          <c:idx val="3"/>
          <c:order val="3"/>
          <c:tx>
            <c:strRef>
              <c:f>Φύλλο1!$E$1</c:f>
              <c:strCache>
                <c:ptCount val="1"/>
                <c:pt idx="0">
                  <c:v>Δ.Α</c:v>
                </c:pt>
              </c:strCache>
            </c:strRef>
          </c:tx>
          <c:spPr>
            <a:solidFill>
              <a:schemeClr val="bg1">
                <a:lumMod val="50000"/>
              </a:schemeClr>
            </a:solidFill>
          </c:spPr>
          <c:invertIfNegative val="0"/>
          <c:dLbls>
            <c:dLbl>
              <c:idx val="1"/>
              <c:layout>
                <c:manualLayout>
                  <c:x val="1.798692343456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7C-4D9D-A531-A112D538548A}"/>
                </c:ext>
              </c:extLst>
            </c:dLbl>
            <c:dLbl>
              <c:idx val="2"/>
              <c:layout>
                <c:manualLayout>
                  <c:x val="1.44697301053045E-2"/>
                  <c:y val="2.062207437618199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7C-4D9D-A531-A112D538548A}"/>
                </c:ext>
              </c:extLst>
            </c:dLbl>
            <c:dLbl>
              <c:idx val="3"/>
              <c:layout>
                <c:manualLayout>
                  <c:x val="2.3019705326859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7C-4D9D-A531-A112D538548A}"/>
                </c:ext>
              </c:extLst>
            </c:dLbl>
            <c:dLbl>
              <c:idx val="4"/>
              <c:layout>
                <c:manualLayout>
                  <c:x val="1.54740772267132E-2"/>
                  <c:y val="-2.29051028962149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7C-4D9D-A531-A112D538548A}"/>
                </c:ext>
              </c:extLst>
            </c:dLbl>
            <c:dLbl>
              <c:idx val="5"/>
              <c:layout>
                <c:manualLayout>
                  <c:x val="4.0370888376039901E-2"/>
                  <c:y val="6.749297630899280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7C-4D9D-A531-A112D538548A}"/>
                </c:ext>
              </c:extLst>
            </c:dLbl>
            <c:dLbl>
              <c:idx val="7"/>
              <c:layout>
                <c:manualLayout>
                  <c:x val="1.79869234345616E-2"/>
                  <c:y val="2.249706829543079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7C-4D9D-A531-A112D538548A}"/>
                </c:ext>
              </c:extLst>
            </c:dLbl>
            <c:dLbl>
              <c:idx val="8"/>
              <c:layout>
                <c:manualLayout>
                  <c:x val="8.3975249883193707E-3"/>
                  <c:y val="2.249706829543120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7C-4D9D-A531-A112D538548A}"/>
                </c:ext>
              </c:extLst>
            </c:dLbl>
            <c:dLbl>
              <c:idx val="10"/>
              <c:layout>
                <c:manualLayout>
                  <c:x val="1.4471355735020799E-2"/>
                  <c:y val="-2.2497068295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7C-4D9D-A531-A112D538548A}"/>
                </c:ext>
              </c:extLst>
            </c:dLbl>
            <c:dLbl>
              <c:idx val="11"/>
              <c:layout>
                <c:manualLayout>
                  <c:x val="1.4851179336984099E-2"/>
                  <c:y val="-1.124853414771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7C-4D9D-A531-A112D538548A}"/>
                </c:ext>
              </c:extLst>
            </c:dLbl>
            <c:dLbl>
              <c:idx val="13"/>
              <c:layout>
                <c:manualLayout>
                  <c:x val="1.79922784500979E-2"/>
                  <c:y val="6.7491204886292299E-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2.5005340671744626E-2"/>
                      <c:h val="4.5747876949893532E-2"/>
                    </c:manualLayout>
                  </c15:layout>
                </c:ext>
                <c:ext xmlns:c16="http://schemas.microsoft.com/office/drawing/2014/chart" uri="{C3380CC4-5D6E-409C-BE32-E72D297353CC}">
                  <c16:uniqueId val="{0000000C-C47C-4D9D-A531-A112D538548A}"/>
                </c:ext>
              </c:extLst>
            </c:dLbl>
            <c:dLbl>
              <c:idx val="15"/>
              <c:layout>
                <c:manualLayout>
                  <c:x val="2.0378989749544E-2"/>
                  <c:y val="4.499590801356280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7C-4D9D-A531-A112D538548A}"/>
                </c:ext>
              </c:extLst>
            </c:dLbl>
            <c:dLbl>
              <c:idx val="16"/>
              <c:layout>
                <c:manualLayout>
                  <c:x val="1.44697301053045E-2"/>
                  <c:y val="2.249706829543079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47C-4D9D-A531-A112D538548A}"/>
                </c:ext>
              </c:extLst>
            </c:dLbl>
            <c:dLbl>
              <c:idx val="17"/>
              <c:layout>
                <c:manualLayout>
                  <c:x val="1.447135573502079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47C-4D9D-A531-A112D538548A}"/>
                </c:ext>
              </c:extLst>
            </c:dLbl>
            <c:dLbl>
              <c:idx val="19"/>
              <c:layout>
                <c:manualLayout>
                  <c:x val="3.42403744355202E-2"/>
                  <c:y val="-4.581020579243039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47C-4D9D-A531-A112D538548A}"/>
                </c:ext>
              </c:extLst>
            </c:dLbl>
            <c:dLbl>
              <c:idx val="20"/>
              <c:layout>
                <c:manualLayout>
                  <c:x val="1.6146519345089299E-2"/>
                  <c:y val="8.998827318172319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47C-4D9D-A531-A112D538548A}"/>
                </c:ext>
              </c:extLst>
            </c:dLbl>
            <c:dLbl>
              <c:idx val="21"/>
              <c:layout>
                <c:manualLayout>
                  <c:x val="1.9172198748341598E-2"/>
                  <c:y val="6.749297630899280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47C-4D9D-A531-A112D538548A}"/>
                </c:ext>
              </c:extLst>
            </c:dLbl>
            <c:dLbl>
              <c:idx val="23"/>
              <c:layout>
                <c:manualLayout>
                  <c:x val="1.4851179336984099E-2"/>
                  <c:y val="4.499413659086159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47C-4D9D-A531-A112D538548A}"/>
                </c:ext>
              </c:extLst>
            </c:dLbl>
            <c:dLbl>
              <c:idx val="24"/>
              <c:layout>
                <c:manualLayout>
                  <c:x val="1.4851179336984099E-2"/>
                  <c:y val="8.998827318172319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47C-4D9D-A531-A112D538548A}"/>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Φύλλο1!$E$2:$E$26</c:f>
              <c:numCache>
                <c:formatCode>General</c:formatCode>
                <c:ptCount val="25"/>
                <c:pt idx="1">
                  <c:v>2</c:v>
                </c:pt>
                <c:pt idx="2">
                  <c:v>2.1</c:v>
                </c:pt>
                <c:pt idx="3">
                  <c:v>2</c:v>
                </c:pt>
                <c:pt idx="5">
                  <c:v>5.0999999999999996</c:v>
                </c:pt>
                <c:pt idx="6">
                  <c:v>1.1000000000000001</c:v>
                </c:pt>
                <c:pt idx="7">
                  <c:v>0</c:v>
                </c:pt>
                <c:pt idx="8">
                  <c:v>1.9</c:v>
                </c:pt>
                <c:pt idx="10">
                  <c:v>1.9</c:v>
                </c:pt>
                <c:pt idx="11">
                  <c:v>2.5</c:v>
                </c:pt>
                <c:pt idx="12">
                  <c:v>0</c:v>
                </c:pt>
                <c:pt idx="13">
                  <c:v>0</c:v>
                </c:pt>
                <c:pt idx="15">
                  <c:v>1.7</c:v>
                </c:pt>
                <c:pt idx="16">
                  <c:v>1</c:v>
                </c:pt>
                <c:pt idx="17">
                  <c:v>2.8</c:v>
                </c:pt>
                <c:pt idx="18">
                  <c:v>2.1</c:v>
                </c:pt>
                <c:pt idx="20">
                  <c:v>2.4</c:v>
                </c:pt>
                <c:pt idx="21">
                  <c:v>3</c:v>
                </c:pt>
                <c:pt idx="22">
                  <c:v>1.1000000000000001</c:v>
                </c:pt>
                <c:pt idx="23">
                  <c:v>1.3</c:v>
                </c:pt>
                <c:pt idx="24">
                  <c:v>1.5</c:v>
                </c:pt>
              </c:numCache>
            </c:numRef>
          </c:val>
          <c:extLst>
            <c:ext xmlns:c16="http://schemas.microsoft.com/office/drawing/2014/chart" uri="{C3380CC4-5D6E-409C-BE32-E72D297353CC}">
              <c16:uniqueId val="{00000015-C47C-4D9D-A531-A112D538548A}"/>
            </c:ext>
          </c:extLst>
        </c:ser>
        <c:dLbls>
          <c:showLegendKey val="0"/>
          <c:showVal val="0"/>
          <c:showCatName val="0"/>
          <c:showSerName val="0"/>
          <c:showPercent val="0"/>
          <c:showBubbleSize val="0"/>
        </c:dLbls>
        <c:gapWidth val="30"/>
        <c:overlap val="100"/>
        <c:axId val="2123862760"/>
        <c:axId val="2123865816"/>
      </c:barChart>
      <c:catAx>
        <c:axId val="2123862760"/>
        <c:scaling>
          <c:orientation val="maxMin"/>
        </c:scaling>
        <c:delete val="0"/>
        <c:axPos val="l"/>
        <c:numFmt formatCode="General" sourceLinked="0"/>
        <c:majorTickMark val="out"/>
        <c:minorTickMark val="none"/>
        <c:tickLblPos val="nextTo"/>
        <c:crossAx val="2123865816"/>
        <c:crosses val="autoZero"/>
        <c:auto val="1"/>
        <c:lblAlgn val="ctr"/>
        <c:lblOffset val="100"/>
        <c:noMultiLvlLbl val="0"/>
      </c:catAx>
      <c:valAx>
        <c:axId val="2123865816"/>
        <c:scaling>
          <c:orientation val="minMax"/>
        </c:scaling>
        <c:delete val="0"/>
        <c:axPos val="b"/>
        <c:majorGridlines/>
        <c:numFmt formatCode="0%" sourceLinked="1"/>
        <c:majorTickMark val="out"/>
        <c:minorTickMark val="none"/>
        <c:tickLblPos val="nextTo"/>
        <c:crossAx val="2123862760"/>
        <c:crosses val="max"/>
        <c:crossBetween val="between"/>
      </c:valAx>
    </c:plotArea>
    <c:legend>
      <c:legendPos val="r"/>
      <c:layout>
        <c:manualLayout>
          <c:xMode val="edge"/>
          <c:yMode val="edge"/>
          <c:x val="0.219953438139912"/>
          <c:y val="1.85910812409879E-3"/>
          <c:w val="0.75819738122190605"/>
          <c:h val="5.80976435849931E-2"/>
        </c:manualLayout>
      </c:layout>
      <c:overlay val="0"/>
    </c:legend>
    <c:plotVisOnly val="1"/>
    <c:dispBlanksAs val="gap"/>
    <c:showDLblsOverMax val="0"/>
  </c:chart>
  <c:txPr>
    <a:bodyPr/>
    <a:lstStyle/>
    <a:p>
      <a:pPr>
        <a:defRPr sz="8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081303676695901"/>
          <c:y val="2.9090191253951701E-2"/>
          <c:w val="0.60086379291189895"/>
          <c:h val="0.89483427336783605"/>
        </c:manualLayout>
      </c:layout>
      <c:barChart>
        <c:barDir val="bar"/>
        <c:grouping val="clustered"/>
        <c:varyColors val="0"/>
        <c:ser>
          <c:idx val="0"/>
          <c:order val="0"/>
          <c:tx>
            <c:strRef>
              <c:f>Φύλλο1!$B$1</c:f>
              <c:strCache>
                <c:ptCount val="1"/>
                <c:pt idx="0">
                  <c:v>Στήλη1</c:v>
                </c:pt>
              </c:strCache>
            </c:strRef>
          </c:tx>
          <c:spPr>
            <a:solidFill>
              <a:schemeClr val="accent1">
                <a:lumMod val="75000"/>
              </a:schemeClr>
            </a:solidFill>
          </c:spPr>
          <c:invertIfNegative val="0"/>
          <c:dPt>
            <c:idx val="0"/>
            <c:invertIfNegative val="0"/>
            <c:bubble3D val="0"/>
            <c:extLst>
              <c:ext xmlns:c16="http://schemas.microsoft.com/office/drawing/2014/chart" uri="{C3380CC4-5D6E-409C-BE32-E72D297353CC}">
                <c16:uniqueId val="{00000000-5468-43D9-AAB6-1683EBD680CA}"/>
              </c:ext>
            </c:extLst>
          </c:dPt>
          <c:dPt>
            <c:idx val="3"/>
            <c:invertIfNegative val="0"/>
            <c:bubble3D val="0"/>
            <c:extLst>
              <c:ext xmlns:c16="http://schemas.microsoft.com/office/drawing/2014/chart" uri="{C3380CC4-5D6E-409C-BE32-E72D297353CC}">
                <c16:uniqueId val="{00000001-5468-43D9-AAB6-1683EBD680CA}"/>
              </c:ext>
            </c:extLst>
          </c:dPt>
          <c:dPt>
            <c:idx val="10"/>
            <c:invertIfNegative val="0"/>
            <c:bubble3D val="0"/>
            <c:spPr>
              <a:solidFill>
                <a:schemeClr val="tx1">
                  <a:lumMod val="50000"/>
                  <a:lumOff val="50000"/>
                </a:schemeClr>
              </a:solidFill>
            </c:spPr>
            <c:extLst>
              <c:ext xmlns:c16="http://schemas.microsoft.com/office/drawing/2014/chart" uri="{C3380CC4-5D6E-409C-BE32-E72D297353CC}">
                <c16:uniqueId val="{00000003-5468-43D9-AAB6-1683EBD680C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Φύλλο1!$A$2:$A$12</c:f>
              <c:strCache>
                <c:ptCount val="11"/>
                <c:pt idx="0">
                  <c:v>Έως 10%</c:v>
                </c:pt>
                <c:pt idx="1">
                  <c:v>11-20%</c:v>
                </c:pt>
                <c:pt idx="2">
                  <c:v>21-30%</c:v>
                </c:pt>
                <c:pt idx="3">
                  <c:v>31-40%</c:v>
                </c:pt>
                <c:pt idx="4">
                  <c:v>41-50%</c:v>
                </c:pt>
                <c:pt idx="5">
                  <c:v>51-60%</c:v>
                </c:pt>
                <c:pt idx="6">
                  <c:v>61-70%</c:v>
                </c:pt>
                <c:pt idx="7">
                  <c:v>71-80%</c:v>
                </c:pt>
                <c:pt idx="8">
                  <c:v>81-90%</c:v>
                </c:pt>
                <c:pt idx="9">
                  <c:v>91-100%</c:v>
                </c:pt>
                <c:pt idx="10">
                  <c:v>ΔΓ/ΔΑ</c:v>
                </c:pt>
              </c:strCache>
            </c:strRef>
          </c:cat>
          <c:val>
            <c:numRef>
              <c:f>Φύλλο1!$B$2:$B$12</c:f>
              <c:numCache>
                <c:formatCode>General</c:formatCode>
                <c:ptCount val="11"/>
                <c:pt idx="0">
                  <c:v>12.9</c:v>
                </c:pt>
                <c:pt idx="1">
                  <c:v>15.8</c:v>
                </c:pt>
                <c:pt idx="2">
                  <c:v>12.7</c:v>
                </c:pt>
                <c:pt idx="3">
                  <c:v>10.199999999999999</c:v>
                </c:pt>
                <c:pt idx="4">
                  <c:v>12.7</c:v>
                </c:pt>
                <c:pt idx="5">
                  <c:v>6.3</c:v>
                </c:pt>
                <c:pt idx="6">
                  <c:v>5.7</c:v>
                </c:pt>
                <c:pt idx="7">
                  <c:v>4.8</c:v>
                </c:pt>
                <c:pt idx="8">
                  <c:v>2.7</c:v>
                </c:pt>
                <c:pt idx="9">
                  <c:v>4.8</c:v>
                </c:pt>
                <c:pt idx="10">
                  <c:v>11.5</c:v>
                </c:pt>
              </c:numCache>
            </c:numRef>
          </c:val>
          <c:extLst>
            <c:ext xmlns:c16="http://schemas.microsoft.com/office/drawing/2014/chart" uri="{C3380CC4-5D6E-409C-BE32-E72D297353CC}">
              <c16:uniqueId val="{00000004-5468-43D9-AAB6-1683EBD680CA}"/>
            </c:ext>
          </c:extLst>
        </c:ser>
        <c:dLbls>
          <c:showLegendKey val="0"/>
          <c:showVal val="0"/>
          <c:showCatName val="0"/>
          <c:showSerName val="0"/>
          <c:showPercent val="0"/>
          <c:showBubbleSize val="0"/>
        </c:dLbls>
        <c:gapWidth val="75"/>
        <c:axId val="2123912488"/>
        <c:axId val="2123915464"/>
      </c:barChart>
      <c:catAx>
        <c:axId val="2123912488"/>
        <c:scaling>
          <c:orientation val="maxMin"/>
        </c:scaling>
        <c:delete val="0"/>
        <c:axPos val="l"/>
        <c:numFmt formatCode="General" sourceLinked="0"/>
        <c:majorTickMark val="out"/>
        <c:minorTickMark val="none"/>
        <c:tickLblPos val="nextTo"/>
        <c:crossAx val="2123915464"/>
        <c:crosses val="autoZero"/>
        <c:auto val="1"/>
        <c:lblAlgn val="ctr"/>
        <c:lblOffset val="100"/>
        <c:noMultiLvlLbl val="0"/>
      </c:catAx>
      <c:valAx>
        <c:axId val="2123915464"/>
        <c:scaling>
          <c:orientation val="minMax"/>
          <c:max val="30"/>
          <c:min val="0"/>
        </c:scaling>
        <c:delete val="0"/>
        <c:axPos val="b"/>
        <c:majorGridlines>
          <c:spPr>
            <a:ln>
              <a:solidFill>
                <a:schemeClr val="bg1">
                  <a:lumMod val="85000"/>
                </a:schemeClr>
              </a:solidFill>
            </a:ln>
          </c:spPr>
        </c:majorGridlines>
        <c:numFmt formatCode="General" sourceLinked="1"/>
        <c:majorTickMark val="out"/>
        <c:minorTickMark val="none"/>
        <c:tickLblPos val="nextTo"/>
        <c:crossAx val="2123912488"/>
        <c:crosses val="max"/>
        <c:crossBetween val="between"/>
        <c:majorUnit val="10"/>
      </c:valAx>
    </c:plotArea>
    <c:plotVisOnly val="1"/>
    <c:dispBlanksAs val="gap"/>
    <c:showDLblsOverMax val="0"/>
  </c:chart>
  <c:txPr>
    <a:bodyPr/>
    <a:lstStyle/>
    <a:p>
      <a:pPr>
        <a:defRPr sz="10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261940397946123"/>
          <c:y val="3.452901720618256E-3"/>
          <c:w val="0.60086379291189895"/>
          <c:h val="0.89483427336783605"/>
        </c:manualLayout>
      </c:layout>
      <c:barChart>
        <c:barDir val="bar"/>
        <c:grouping val="clustered"/>
        <c:varyColors val="0"/>
        <c:ser>
          <c:idx val="0"/>
          <c:order val="0"/>
          <c:tx>
            <c:strRef>
              <c:f>Φύλλο1!$B$1</c:f>
              <c:strCache>
                <c:ptCount val="1"/>
                <c:pt idx="0">
                  <c:v>Στήλη1</c:v>
                </c:pt>
              </c:strCache>
            </c:strRef>
          </c:tx>
          <c:spPr>
            <a:solidFill>
              <a:schemeClr val="accent1">
                <a:lumMod val="75000"/>
              </a:schemeClr>
            </a:solidFill>
          </c:spPr>
          <c:invertIfNegative val="0"/>
          <c:dPt>
            <c:idx val="0"/>
            <c:invertIfNegative val="0"/>
            <c:bubble3D val="0"/>
            <c:extLst>
              <c:ext xmlns:c16="http://schemas.microsoft.com/office/drawing/2014/chart" uri="{C3380CC4-5D6E-409C-BE32-E72D297353CC}">
                <c16:uniqueId val="{00000000-B4C7-4F8D-B293-FFFD2EE85A4F}"/>
              </c:ext>
            </c:extLst>
          </c:dPt>
          <c:dPt>
            <c:idx val="3"/>
            <c:invertIfNegative val="0"/>
            <c:bubble3D val="0"/>
            <c:extLst>
              <c:ext xmlns:c16="http://schemas.microsoft.com/office/drawing/2014/chart" uri="{C3380CC4-5D6E-409C-BE32-E72D297353CC}">
                <c16:uniqueId val="{00000001-B4C7-4F8D-B293-FFFD2EE85A4F}"/>
              </c:ext>
            </c:extLst>
          </c:dPt>
          <c:dPt>
            <c:idx val="10"/>
            <c:invertIfNegative val="0"/>
            <c:bubble3D val="0"/>
            <c:spPr>
              <a:solidFill>
                <a:schemeClr val="tx1">
                  <a:lumMod val="50000"/>
                  <a:lumOff val="50000"/>
                </a:schemeClr>
              </a:solidFill>
            </c:spPr>
            <c:extLst>
              <c:ext xmlns:c16="http://schemas.microsoft.com/office/drawing/2014/chart" uri="{C3380CC4-5D6E-409C-BE32-E72D297353CC}">
                <c16:uniqueId val="{00000003-B4C7-4F8D-B293-FFFD2EE85A4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Έως 10%</c:v>
                </c:pt>
                <c:pt idx="1">
                  <c:v>11-20%</c:v>
                </c:pt>
                <c:pt idx="2">
                  <c:v>21-40%</c:v>
                </c:pt>
                <c:pt idx="3">
                  <c:v>Άνω του 40%</c:v>
                </c:pt>
                <c:pt idx="4">
                  <c:v>ΔΓ/ΔΑ</c:v>
                </c:pt>
              </c:strCache>
            </c:strRef>
          </c:cat>
          <c:val>
            <c:numRef>
              <c:f>Φύλλο1!$B$2:$B$6</c:f>
              <c:numCache>
                <c:formatCode>General</c:formatCode>
                <c:ptCount val="5"/>
                <c:pt idx="0">
                  <c:v>46</c:v>
                </c:pt>
                <c:pt idx="1">
                  <c:v>21.7</c:v>
                </c:pt>
                <c:pt idx="2">
                  <c:v>14.3</c:v>
                </c:pt>
                <c:pt idx="3">
                  <c:v>9.9</c:v>
                </c:pt>
                <c:pt idx="4">
                  <c:v>8.1</c:v>
                </c:pt>
              </c:numCache>
            </c:numRef>
          </c:val>
          <c:extLst>
            <c:ext xmlns:c16="http://schemas.microsoft.com/office/drawing/2014/chart" uri="{C3380CC4-5D6E-409C-BE32-E72D297353CC}">
              <c16:uniqueId val="{00000004-B4C7-4F8D-B293-FFFD2EE85A4F}"/>
            </c:ext>
          </c:extLst>
        </c:ser>
        <c:dLbls>
          <c:showLegendKey val="0"/>
          <c:showVal val="0"/>
          <c:showCatName val="0"/>
          <c:showSerName val="0"/>
          <c:showPercent val="0"/>
          <c:showBubbleSize val="0"/>
        </c:dLbls>
        <c:gapWidth val="75"/>
        <c:axId val="2122935272"/>
        <c:axId val="2122938248"/>
      </c:barChart>
      <c:catAx>
        <c:axId val="2122935272"/>
        <c:scaling>
          <c:orientation val="maxMin"/>
        </c:scaling>
        <c:delete val="0"/>
        <c:axPos val="l"/>
        <c:numFmt formatCode="General" sourceLinked="0"/>
        <c:majorTickMark val="out"/>
        <c:minorTickMark val="none"/>
        <c:tickLblPos val="nextTo"/>
        <c:crossAx val="2122938248"/>
        <c:crosses val="autoZero"/>
        <c:auto val="1"/>
        <c:lblAlgn val="ctr"/>
        <c:lblOffset val="100"/>
        <c:noMultiLvlLbl val="0"/>
      </c:catAx>
      <c:valAx>
        <c:axId val="2122938248"/>
        <c:scaling>
          <c:orientation val="minMax"/>
          <c:max val="60"/>
          <c:min val="0"/>
        </c:scaling>
        <c:delete val="0"/>
        <c:axPos val="b"/>
        <c:majorGridlines>
          <c:spPr>
            <a:ln>
              <a:solidFill>
                <a:schemeClr val="bg1">
                  <a:lumMod val="85000"/>
                </a:schemeClr>
              </a:solidFill>
            </a:ln>
          </c:spPr>
        </c:majorGridlines>
        <c:numFmt formatCode="General" sourceLinked="1"/>
        <c:majorTickMark val="out"/>
        <c:minorTickMark val="none"/>
        <c:tickLblPos val="nextTo"/>
        <c:crossAx val="2122935272"/>
        <c:crosses val="max"/>
        <c:crossBetween val="between"/>
        <c:majorUnit val="10"/>
      </c:valAx>
    </c:plotArea>
    <c:plotVisOnly val="1"/>
    <c:dispBlanksAs val="gap"/>
    <c:showDLblsOverMax val="0"/>
  </c:chart>
  <c:txPr>
    <a:bodyPr/>
    <a:lstStyle/>
    <a:p>
      <a:pPr>
        <a:defRPr sz="1000">
          <a:solidFill>
            <a:schemeClr val="tx1"/>
          </a:solidFill>
          <a:latin typeface="Microsoft JhengHei UI" panose="020B0604030504040204" pitchFamily="34" charset="-120"/>
          <a:ea typeface="Microsoft JhengHei UI" panose="020B0604030504040204" pitchFamily="34" charset="-12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Γράφημα 8</a:t>
            </a:r>
          </a:p>
          <a:p>
            <a:pPr>
              <a:defRPr sz="1400" b="0" i="0" u="none" strike="noStrike" kern="1200" spc="0" baseline="0">
                <a:solidFill>
                  <a:schemeClr val="tx1">
                    <a:lumMod val="65000"/>
                    <a:lumOff val="35000"/>
                  </a:schemeClr>
                </a:solidFill>
                <a:latin typeface="+mn-lt"/>
                <a:ea typeface="+mn-ea"/>
                <a:cs typeface="+mn-cs"/>
              </a:defRPr>
            </a:pPr>
            <a:r>
              <a:rPr lang="el-GR"/>
              <a:t>ΕΤΗΣΙΟΣ</a:t>
            </a:r>
            <a:r>
              <a:rPr lang="el-GR" baseline="0"/>
              <a:t> ΚΥΚΛΟΣ ΕΡΓΑΣΙΩΝ</a:t>
            </a:r>
            <a:endParaRPr lang="el-GR"/>
          </a:p>
        </c:rich>
      </c:tx>
      <c:overlay val="0"/>
      <c:spPr>
        <a:noFill/>
        <a:ln>
          <a:noFill/>
        </a:ln>
        <a:effectLst/>
      </c:spPr>
    </c:title>
    <c:autoTitleDeleted val="0"/>
    <c:plotArea>
      <c:layout/>
      <c:barChart>
        <c:barDir val="col"/>
        <c:grouping val="clustered"/>
        <c:varyColors val="0"/>
        <c:ser>
          <c:idx val="0"/>
          <c:order val="0"/>
          <c:tx>
            <c:strRef>
              <c:f>Φύλλο1!$C$2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Φύλλο1!$B$3:$B$8</c:f>
              <c:strCache>
                <c:ptCount val="6"/>
                <c:pt idx="0">
                  <c:v>Κάτω από 50.000 €</c:v>
                </c:pt>
                <c:pt idx="1">
                  <c:v>50.000 - 100.000 €</c:v>
                </c:pt>
                <c:pt idx="2">
                  <c:v>100.000 - 300.000 €</c:v>
                </c:pt>
                <c:pt idx="3">
                  <c:v>300.000 - 500.000 €</c:v>
                </c:pt>
                <c:pt idx="4">
                  <c:v>500.000 - 1.000.000 €</c:v>
                </c:pt>
                <c:pt idx="5">
                  <c:v>Πάνω από 1.000.000 €</c:v>
                </c:pt>
              </c:strCache>
            </c:strRef>
          </c:cat>
          <c:val>
            <c:numRef>
              <c:f>Φύλλο1!$C$3:$C$8</c:f>
              <c:numCache>
                <c:formatCode>General</c:formatCode>
                <c:ptCount val="6"/>
                <c:pt idx="0">
                  <c:v>45.8</c:v>
                </c:pt>
                <c:pt idx="1">
                  <c:v>14.8</c:v>
                </c:pt>
                <c:pt idx="2">
                  <c:v>15.3</c:v>
                </c:pt>
                <c:pt idx="3">
                  <c:v>5.2</c:v>
                </c:pt>
                <c:pt idx="4">
                  <c:v>4.5999999999999996</c:v>
                </c:pt>
                <c:pt idx="5">
                  <c:v>4.2</c:v>
                </c:pt>
              </c:numCache>
            </c:numRef>
          </c:val>
          <c:extLst>
            <c:ext xmlns:c16="http://schemas.microsoft.com/office/drawing/2014/chart" uri="{C3380CC4-5D6E-409C-BE32-E72D297353CC}">
              <c16:uniqueId val="{00000000-E9D3-4469-BA97-CC456A7E100E}"/>
            </c:ext>
          </c:extLst>
        </c:ser>
        <c:ser>
          <c:idx val="1"/>
          <c:order val="1"/>
          <c:tx>
            <c:strRef>
              <c:f>Φύλλο1!$D$2</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Φύλλο1!$B$3:$B$8</c:f>
              <c:strCache>
                <c:ptCount val="6"/>
                <c:pt idx="0">
                  <c:v>Κάτω από 50.000 €</c:v>
                </c:pt>
                <c:pt idx="1">
                  <c:v>50.000 - 100.000 €</c:v>
                </c:pt>
                <c:pt idx="2">
                  <c:v>100.000 - 300.000 €</c:v>
                </c:pt>
                <c:pt idx="3">
                  <c:v>300.000 - 500.000 €</c:v>
                </c:pt>
                <c:pt idx="4">
                  <c:v>500.000 - 1.000.000 €</c:v>
                </c:pt>
                <c:pt idx="5">
                  <c:v>Πάνω από 1.000.000 €</c:v>
                </c:pt>
              </c:strCache>
            </c:strRef>
          </c:cat>
          <c:val>
            <c:numRef>
              <c:f>Φύλλο1!$D$3:$D$8</c:f>
              <c:numCache>
                <c:formatCode>General</c:formatCode>
                <c:ptCount val="6"/>
                <c:pt idx="0">
                  <c:v>34.1</c:v>
                </c:pt>
                <c:pt idx="1">
                  <c:v>15.9</c:v>
                </c:pt>
                <c:pt idx="2">
                  <c:v>19.899999999999999</c:v>
                </c:pt>
                <c:pt idx="3">
                  <c:v>8.7000000000000011</c:v>
                </c:pt>
                <c:pt idx="4">
                  <c:v>5.0999999999999996</c:v>
                </c:pt>
                <c:pt idx="5">
                  <c:v>8.2000000000000011</c:v>
                </c:pt>
              </c:numCache>
            </c:numRef>
          </c:val>
          <c:extLst>
            <c:ext xmlns:c16="http://schemas.microsoft.com/office/drawing/2014/chart" uri="{C3380CC4-5D6E-409C-BE32-E72D297353CC}">
              <c16:uniqueId val="{00000001-E9D3-4469-BA97-CC456A7E100E}"/>
            </c:ext>
          </c:extLst>
        </c:ser>
        <c:dLbls>
          <c:showLegendKey val="0"/>
          <c:showVal val="0"/>
          <c:showCatName val="0"/>
          <c:showSerName val="0"/>
          <c:showPercent val="0"/>
          <c:showBubbleSize val="0"/>
        </c:dLbls>
        <c:gapWidth val="219"/>
        <c:overlap val="-27"/>
        <c:axId val="2124012376"/>
        <c:axId val="2124015960"/>
      </c:barChart>
      <c:catAx>
        <c:axId val="212401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15960"/>
        <c:crosses val="autoZero"/>
        <c:auto val="1"/>
        <c:lblAlgn val="ctr"/>
        <c:lblOffset val="100"/>
        <c:noMultiLvlLbl val="0"/>
      </c:catAx>
      <c:valAx>
        <c:axId val="2124015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1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0.03828</cdr:x>
      <cdr:y>0.34004</cdr:y>
    </cdr:from>
    <cdr:to>
      <cdr:x>0.10785</cdr:x>
      <cdr:y>0.42654</cdr:y>
    </cdr:to>
    <cdr:sp macro="" textlink="">
      <cdr:nvSpPr>
        <cdr:cNvPr id="2" name="Oval 1"/>
        <cdr:cNvSpPr/>
      </cdr:nvSpPr>
      <cdr:spPr>
        <a:xfrm xmlns:a="http://schemas.openxmlformats.org/drawingml/2006/main">
          <a:off x="251537" y="1158240"/>
          <a:ext cx="457123" cy="294615"/>
        </a:xfrm>
        <a:prstGeom xmlns:a="http://schemas.openxmlformats.org/drawingml/2006/main" prst="ellipse">
          <a:avLst/>
        </a:prstGeom>
        <a:noFill xmlns:a="http://schemas.openxmlformats.org/drawingml/2006/mai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0.57955</cdr:x>
      <cdr:y>0</cdr:y>
    </cdr:from>
    <cdr:to>
      <cdr:x>1</cdr:x>
      <cdr:y>0.11139</cdr:y>
    </cdr:to>
    <cdr:sp macro="" textlink="">
      <cdr:nvSpPr>
        <cdr:cNvPr id="2" name="16 - TextBox"/>
        <cdr:cNvSpPr txBox="1"/>
      </cdr:nvSpPr>
      <cdr:spPr>
        <a:xfrm xmlns:a="http://schemas.openxmlformats.org/drawingml/2006/main">
          <a:off x="3808206" y="0"/>
          <a:ext cx="2762774" cy="342900"/>
        </a:xfrm>
        <a:prstGeom xmlns:a="http://schemas.openxmlformats.org/drawingml/2006/main" prst="rect">
          <a:avLst/>
        </a:prstGeom>
        <a:solidFill xmlns:a="http://schemas.openxmlformats.org/drawingml/2006/main">
          <a:schemeClr val="accent3">
            <a:lumMod val="75000"/>
          </a:schemeClr>
        </a:solidFill>
        <a:ln xmlns:a="http://schemas.openxmlformats.org/drawingml/2006/main"/>
        <a:effectLst xmlns:a="http://schemas.openxmlformats.org/drawingml/2006/main"/>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1100" b="1" dirty="0">
              <a:latin typeface="Microsoft JhengHei UI" panose="020B0604030504040204" pitchFamily="34" charset="-120"/>
              <a:ea typeface="Microsoft JhengHei UI" panose="020B0604030504040204" pitchFamily="34" charset="-120"/>
              <a:cs typeface="Microsoft Sans Serif" panose="020B0604020202020204" pitchFamily="34" charset="0"/>
            </a:rPr>
            <a:t>Ναι &amp; Μάλλον ναι: 23,4%</a:t>
          </a:r>
          <a:endParaRPr lang="en-US" sz="11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dr:relSizeAnchor xmlns:cdr="http://schemas.openxmlformats.org/drawingml/2006/chartDrawing">
    <cdr:from>
      <cdr:x>0</cdr:x>
      <cdr:y>0.88119</cdr:y>
    </cdr:from>
    <cdr:to>
      <cdr:x>0.39651</cdr:x>
      <cdr:y>1</cdr:y>
    </cdr:to>
    <cdr:sp macro="" textlink="">
      <cdr:nvSpPr>
        <cdr:cNvPr id="3" name="15 - TextBox"/>
        <cdr:cNvSpPr txBox="1"/>
      </cdr:nvSpPr>
      <cdr:spPr>
        <a:xfrm xmlns:a="http://schemas.openxmlformats.org/drawingml/2006/main">
          <a:off x="0" y="2712720"/>
          <a:ext cx="2605449" cy="365760"/>
        </a:xfrm>
        <a:prstGeom xmlns:a="http://schemas.openxmlformats.org/drawingml/2006/main" prst="rect">
          <a:avLst/>
        </a:prstGeom>
        <a:solidFill xmlns:a="http://schemas.openxmlformats.org/drawingml/2006/main">
          <a:schemeClr val="accent2"/>
        </a:solidFill>
        <a:ln xmlns:a="http://schemas.openxmlformats.org/drawingml/2006/main"/>
        <a:effectLst xmlns:a="http://schemas.openxmlformats.org/drawingml/2006/main"/>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1100" b="1" dirty="0">
              <a:latin typeface="Microsoft JhengHei UI" panose="020B0604030504040204" pitchFamily="34" charset="-120"/>
              <a:ea typeface="Microsoft JhengHei UI" panose="020B0604030504040204" pitchFamily="34" charset="-120"/>
              <a:cs typeface="Microsoft Sans Serif" panose="020B0604020202020204" pitchFamily="34" charset="0"/>
            </a:rPr>
            <a:t>Όχι &amp; Μάλλον όχι: 61,2%</a:t>
          </a:r>
          <a:endParaRPr lang="en-US" sz="11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0.64128</cdr:x>
      <cdr:y>0</cdr:y>
    </cdr:from>
    <cdr:to>
      <cdr:x>1</cdr:x>
      <cdr:y>0.08259</cdr:y>
    </cdr:to>
    <cdr:sp macro="" textlink="">
      <cdr:nvSpPr>
        <cdr:cNvPr id="2" name="15 - TextBox"/>
        <cdr:cNvSpPr txBox="1"/>
      </cdr:nvSpPr>
      <cdr:spPr>
        <a:xfrm xmlns:a="http://schemas.openxmlformats.org/drawingml/2006/main">
          <a:off x="4213860" y="0"/>
          <a:ext cx="2357120" cy="28194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a:effectLst xmlns:a="http://schemas.openxmlformats.org/drawingml/2006/main"/>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1000" b="1" dirty="0">
              <a:latin typeface="Microsoft JhengHei UI" panose="020B0604030504040204" pitchFamily="34" charset="-120"/>
              <a:ea typeface="Microsoft JhengHei UI" panose="020B0604030504040204" pitchFamily="34" charset="-120"/>
              <a:cs typeface="Microsoft Sans Serif" panose="020B0604020202020204" pitchFamily="34" charset="0"/>
            </a:rPr>
            <a:t>Επαρκή  &amp; Μάλλον επαρκή: 40,1%</a:t>
          </a:r>
          <a:endParaRPr lang="en-US" sz="10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dr:relSizeAnchor xmlns:cdr="http://schemas.openxmlformats.org/drawingml/2006/chartDrawing">
    <cdr:from>
      <cdr:x>0</cdr:x>
      <cdr:y>0.91093</cdr:y>
    </cdr:from>
    <cdr:to>
      <cdr:x>0.40704</cdr:x>
      <cdr:y>1</cdr:y>
    </cdr:to>
    <cdr:sp macro="" textlink="">
      <cdr:nvSpPr>
        <cdr:cNvPr id="3" name="16 - TextBox"/>
        <cdr:cNvSpPr txBox="1"/>
      </cdr:nvSpPr>
      <cdr:spPr>
        <a:xfrm xmlns:a="http://schemas.openxmlformats.org/drawingml/2006/main">
          <a:off x="0" y="3109702"/>
          <a:ext cx="2674620" cy="304058"/>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a:effectLst xmlns:a="http://schemas.openxmlformats.org/drawingml/2006/main"/>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1000" b="1" dirty="0">
              <a:latin typeface="Microsoft JhengHei UI" panose="020B0604030504040204" pitchFamily="34" charset="-120"/>
              <a:ea typeface="Microsoft JhengHei UI" panose="020B0604030504040204" pitchFamily="34" charset="-120"/>
              <a:cs typeface="Microsoft Sans Serif" panose="020B0604020202020204" pitchFamily="34" charset="0"/>
            </a:rPr>
            <a:t>Ανεπαρκή  &amp; μάλλον ανεπαρκή : 54,6%</a:t>
          </a:r>
          <a:endParaRPr lang="en-US" sz="10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0.64515</cdr:x>
      <cdr:y>0</cdr:y>
    </cdr:from>
    <cdr:to>
      <cdr:x>1</cdr:x>
      <cdr:y>0.1275</cdr:y>
    </cdr:to>
    <cdr:sp macro="" textlink="">
      <cdr:nvSpPr>
        <cdr:cNvPr id="2" name="15 - TextBox"/>
        <cdr:cNvSpPr txBox="1"/>
      </cdr:nvSpPr>
      <cdr:spPr>
        <a:xfrm xmlns:a="http://schemas.openxmlformats.org/drawingml/2006/main">
          <a:off x="2035242" y="0"/>
          <a:ext cx="1119438" cy="38862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a:effectLst xmlns:a="http://schemas.openxmlformats.org/drawingml/2006/main"/>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800" b="1" dirty="0">
              <a:latin typeface="Microsoft JhengHei UI" panose="020B0604030504040204" pitchFamily="34" charset="-120"/>
              <a:ea typeface="Microsoft JhengHei UI" panose="020B0604030504040204" pitchFamily="34" charset="-120"/>
              <a:cs typeface="Microsoft Sans Serif" panose="020B0604020202020204" pitchFamily="34" charset="0"/>
            </a:rPr>
            <a:t>Θετικές &amp; Μάλλον θετικές: 23,1%</a:t>
          </a:r>
          <a:endParaRPr lang="en-US" sz="8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dr:relSizeAnchor xmlns:cdr="http://schemas.openxmlformats.org/drawingml/2006/chartDrawing">
    <cdr:from>
      <cdr:x>0</cdr:x>
      <cdr:y>0.85855</cdr:y>
    </cdr:from>
    <cdr:to>
      <cdr:x>0.42469</cdr:x>
      <cdr:y>1</cdr:y>
    </cdr:to>
    <cdr:sp macro="" textlink="">
      <cdr:nvSpPr>
        <cdr:cNvPr id="3" name="16 - TextBox"/>
        <cdr:cNvSpPr txBox="1"/>
      </cdr:nvSpPr>
      <cdr:spPr>
        <a:xfrm xmlns:a="http://schemas.openxmlformats.org/drawingml/2006/main">
          <a:off x="0" y="2616856"/>
          <a:ext cx="1339761" cy="431144"/>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a:effectLst xmlns:a="http://schemas.openxmlformats.org/drawingml/2006/main"/>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800" b="1" dirty="0">
              <a:latin typeface="Microsoft JhengHei UI" panose="020B0604030504040204" pitchFamily="34" charset="-120"/>
              <a:ea typeface="Microsoft JhengHei UI" panose="020B0604030504040204" pitchFamily="34" charset="-120"/>
              <a:cs typeface="Microsoft Sans Serif" panose="020B0604020202020204" pitchFamily="34" charset="0"/>
            </a:rPr>
            <a:t>Αρνητικές  &amp; μάλλον αρνητικές : 41,7%</a:t>
          </a:r>
          <a:endParaRPr lang="en-US" sz="8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0.67259</cdr:x>
      <cdr:y>0</cdr:y>
    </cdr:from>
    <cdr:to>
      <cdr:x>1</cdr:x>
      <cdr:y>0.15625</cdr:y>
    </cdr:to>
    <cdr:sp macro="" textlink="">
      <cdr:nvSpPr>
        <cdr:cNvPr id="2" name="15 - TextBox"/>
        <cdr:cNvSpPr txBox="1"/>
      </cdr:nvSpPr>
      <cdr:spPr>
        <a:xfrm xmlns:a="http://schemas.openxmlformats.org/drawingml/2006/main">
          <a:off x="2162807" y="0"/>
          <a:ext cx="1052833" cy="495300"/>
        </a:xfrm>
        <a:prstGeom xmlns:a="http://schemas.openxmlformats.org/drawingml/2006/main" prst="rect">
          <a:avLst/>
        </a:prstGeom>
        <a:solidFill xmlns:a="http://schemas.openxmlformats.org/drawingml/2006/main">
          <a:schemeClr val="accent3"/>
        </a:solidFill>
        <a:ln xmlns:a="http://schemas.openxmlformats.org/drawingml/2006/main">
          <a:solidFill>
            <a:schemeClr val="accent3"/>
          </a:solidFill>
        </a:ln>
        <a:effectLst xmlns:a="http://schemas.openxmlformats.org/drawingml/2006/main"/>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800" b="1" dirty="0">
              <a:latin typeface="Microsoft JhengHei UI" panose="020B0604030504040204" pitchFamily="34" charset="-120"/>
              <a:ea typeface="Microsoft JhengHei UI" panose="020B0604030504040204" pitchFamily="34" charset="-120"/>
              <a:cs typeface="Microsoft Sans Serif" panose="020B0604020202020204" pitchFamily="34" charset="0"/>
            </a:rPr>
            <a:t>Θετικό &amp; Μάλλον θετικό: 17,6%</a:t>
          </a:r>
          <a:endParaRPr lang="en-US" sz="8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dr:relSizeAnchor xmlns:cdr="http://schemas.openxmlformats.org/drawingml/2006/chartDrawing">
    <cdr:from>
      <cdr:x>0</cdr:x>
      <cdr:y>0.87638</cdr:y>
    </cdr:from>
    <cdr:to>
      <cdr:x>0.38178</cdr:x>
      <cdr:y>0.99392</cdr:y>
    </cdr:to>
    <cdr:sp macro="" textlink="">
      <cdr:nvSpPr>
        <cdr:cNvPr id="3" name="16 - TextBox"/>
        <cdr:cNvSpPr txBox="1"/>
      </cdr:nvSpPr>
      <cdr:spPr>
        <a:xfrm xmlns:a="http://schemas.openxmlformats.org/drawingml/2006/main">
          <a:off x="0" y="3025140"/>
          <a:ext cx="1227667" cy="40573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a:effectLst xmlns:a="http://schemas.openxmlformats.org/drawingml/2006/main"/>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xmlns:a="http://schemas.openxmlformats.org/drawingml/2006/main">
          <a:pPr algn="ctr">
            <a:defRPr/>
          </a:pPr>
          <a:r>
            <a:rPr lang="el-GR" sz="800" b="1" dirty="0">
              <a:latin typeface="Microsoft JhengHei UI" panose="020B0604030504040204" pitchFamily="34" charset="-120"/>
              <a:ea typeface="Microsoft JhengHei UI" panose="020B0604030504040204" pitchFamily="34" charset="-120"/>
              <a:cs typeface="Microsoft Sans Serif" panose="020B0604020202020204" pitchFamily="34" charset="0"/>
            </a:rPr>
            <a:t>Αρνητικό &amp; μάλλον αρνητικό: 24,3%</a:t>
          </a:r>
          <a:endParaRPr lang="en-US" sz="800" b="1" dirty="0">
            <a:latin typeface="Microsoft JhengHei UI" panose="020B0604030504040204" pitchFamily="34" charset="-120"/>
            <a:ea typeface="Microsoft JhengHei UI" panose="020B0604030504040204" pitchFamily="34" charset="-120"/>
            <a:cs typeface="Microsoft Sans Serif" panose="020B0604020202020204" pitchFamily="34" charset="0"/>
          </a:endParaRP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0D0CD4-CC0C-9645-AE31-797C67E6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9068</Words>
  <Characters>51689</Characters>
  <Application>Microsoft Office Word</Application>
  <DocSecurity>0</DocSecurity>
  <Lines>430</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Θανόπουλος</dc:creator>
  <cp:lastModifiedBy>george thanopoulos</cp:lastModifiedBy>
  <cp:revision>9</cp:revision>
  <cp:lastPrinted>2021-09-06T07:51:00Z</cp:lastPrinted>
  <dcterms:created xsi:type="dcterms:W3CDTF">2021-09-07T05:50:00Z</dcterms:created>
  <dcterms:modified xsi:type="dcterms:W3CDTF">2021-09-08T10:58:00Z</dcterms:modified>
</cp:coreProperties>
</file>