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07" w:rsidRDefault="00442407" w:rsidP="00442407">
      <w:pPr>
        <w:jc w:val="both"/>
        <w:rPr>
          <w:rFonts w:ascii="Calibri" w:hAnsi="Calibri" w:cs="Calibri"/>
          <w:b/>
          <w:bCs/>
          <w:color w:val="000080"/>
          <w:sz w:val="40"/>
          <w:szCs w:val="40"/>
        </w:rPr>
      </w:pPr>
      <w:r>
        <w:rPr>
          <w:rFonts w:ascii="Calibri" w:hAnsi="Calibri" w:cs="Calibri"/>
          <w:b/>
          <w:bCs/>
          <w:color w:val="000080"/>
          <w:sz w:val="40"/>
          <w:szCs w:val="40"/>
        </w:rPr>
        <w:t>Η Ενιαία Αγορά στην Ελλάδα – Επιλεγμένα θέματα</w:t>
      </w:r>
    </w:p>
    <w:p w:rsidR="00442407" w:rsidRDefault="00442407" w:rsidP="00442407">
      <w:pPr>
        <w:jc w:val="both"/>
        <w:rPr>
          <w:rFonts w:ascii="Calibri" w:hAnsi="Calibri" w:cs="Calibri"/>
          <w:b/>
          <w:bCs/>
          <w:color w:val="548DD4"/>
          <w:sz w:val="28"/>
          <w:szCs w:val="28"/>
        </w:rPr>
      </w:pPr>
      <w:r>
        <w:rPr>
          <w:rFonts w:ascii="Calibri" w:hAnsi="Calibri" w:cs="Calibri"/>
          <w:b/>
          <w:bCs/>
          <w:color w:val="548DD4"/>
          <w:sz w:val="28"/>
          <w:szCs w:val="28"/>
        </w:rPr>
        <w:t>Οι εθνικές επιδόσεις στον Πίνακα Επιδόσεων της Ενιαίας Αγοράς της ΕΕ</w:t>
      </w:r>
    </w:p>
    <w:p w:rsidR="00442407" w:rsidRDefault="00442407" w:rsidP="00442407">
      <w:pPr>
        <w:pStyle w:val="a4"/>
        <w:jc w:val="both"/>
      </w:pPr>
    </w:p>
    <w:p w:rsidR="00442407" w:rsidRDefault="00442407" w:rsidP="00442407">
      <w:pPr>
        <w:pStyle w:val="a4"/>
        <w:jc w:val="both"/>
        <w:rPr>
          <w:sz w:val="24"/>
          <w:szCs w:val="24"/>
        </w:rPr>
      </w:pPr>
      <w:r>
        <w:t xml:space="preserve">Ο </w:t>
      </w:r>
      <w:r>
        <w:rPr>
          <w:b/>
          <w:bCs/>
        </w:rPr>
        <w:t xml:space="preserve">Πίνακας Επιδόσεων της Ενιαίας Αγοράς </w:t>
      </w:r>
      <w:r>
        <w:rPr>
          <w:sz w:val="24"/>
          <w:szCs w:val="24"/>
        </w:rPr>
        <w:t>(</w:t>
      </w:r>
      <w:r>
        <w:rPr>
          <w:sz w:val="24"/>
          <w:szCs w:val="24"/>
          <w:lang w:val="en-US"/>
        </w:rPr>
        <w:t>Single</w:t>
      </w:r>
      <w:r w:rsidRPr="00505426">
        <w:rPr>
          <w:sz w:val="24"/>
          <w:szCs w:val="24"/>
        </w:rPr>
        <w:t xml:space="preserve"> </w:t>
      </w:r>
      <w:r>
        <w:rPr>
          <w:sz w:val="24"/>
          <w:szCs w:val="24"/>
          <w:lang w:val="en-US"/>
        </w:rPr>
        <w:t>Market</w:t>
      </w:r>
      <w:r w:rsidRPr="00505426">
        <w:rPr>
          <w:sz w:val="24"/>
          <w:szCs w:val="24"/>
        </w:rPr>
        <w:t xml:space="preserve"> </w:t>
      </w:r>
      <w:r>
        <w:rPr>
          <w:sz w:val="24"/>
          <w:szCs w:val="24"/>
          <w:lang w:val="en-US"/>
        </w:rPr>
        <w:t>Scoreboard</w:t>
      </w:r>
      <w:r>
        <w:rPr>
          <w:sz w:val="24"/>
          <w:szCs w:val="24"/>
        </w:rPr>
        <w:t>),</w:t>
      </w:r>
      <w:r>
        <w:rPr>
          <w:b/>
          <w:bCs/>
          <w:sz w:val="24"/>
          <w:szCs w:val="24"/>
        </w:rPr>
        <w:t xml:space="preserve"> </w:t>
      </w:r>
      <w:r>
        <w:rPr>
          <w:sz w:val="24"/>
          <w:szCs w:val="24"/>
        </w:rPr>
        <w:t>ο οποίος ανακοινώθηκε στις 28 Φεβρουαρίου 2014 από την ΕΕ, αποσκοπεί στην παρουσίαση της συνολικής εικόνας των αποτελεσμάτων Διακυβέρνησης</w:t>
      </w:r>
      <w:r>
        <w:rPr>
          <w:rStyle w:val="a5"/>
          <w:sz w:val="24"/>
          <w:szCs w:val="24"/>
        </w:rPr>
        <w:footnoteReference w:customMarkFollows="1" w:id="1"/>
        <w:t>[2]</w:t>
      </w:r>
      <w:r>
        <w:rPr>
          <w:sz w:val="24"/>
          <w:szCs w:val="24"/>
        </w:rPr>
        <w:t xml:space="preserve"> της Ενιαίας Αγοράς. Οι πληροφορίες και τα στοιχεία που περιλαμβάνει καλύπτουν: τον Κύκλο Διακυβέρνησης, τις Επιδόσεις ανά Κράτος Μέλος και τα Εργαλεία Διακυβέρνησης. Για το σκοπό της παρούσας σύνοψης, παραθέτουμε τις σχετικές αναφορές για τη χώρα μας στα θεματικά πεδία αρμοδιότητας ΥΠΟΙΚ. </w:t>
      </w:r>
    </w:p>
    <w:p w:rsidR="00442407" w:rsidRDefault="00442407" w:rsidP="00442407">
      <w:pPr>
        <w:pStyle w:val="a4"/>
        <w:jc w:val="both"/>
        <w:rPr>
          <w:i/>
          <w:iCs/>
          <w:sz w:val="24"/>
          <w:szCs w:val="24"/>
        </w:rPr>
      </w:pPr>
      <w:r>
        <w:rPr>
          <w:i/>
          <w:iCs/>
          <w:sz w:val="24"/>
          <w:szCs w:val="24"/>
        </w:rPr>
        <w:t>Υπενθυμίζουμε ότι η Διεύθυνση ΔΕΕ έχει την αρμοδιότητα:</w:t>
      </w:r>
    </w:p>
    <w:p w:rsidR="00442407" w:rsidRDefault="00442407" w:rsidP="00442407">
      <w:pPr>
        <w:pStyle w:val="a4"/>
        <w:jc w:val="both"/>
        <w:rPr>
          <w:i/>
          <w:iCs/>
          <w:sz w:val="24"/>
          <w:szCs w:val="24"/>
        </w:rPr>
      </w:pPr>
      <w:r>
        <w:rPr>
          <w:i/>
          <w:iCs/>
          <w:sz w:val="24"/>
          <w:szCs w:val="24"/>
        </w:rPr>
        <w:t xml:space="preserve">α) παρακολούθησης της ενσωμάτωσης της ενωσιακής νομοθεσίας στο εθνικό δίκαιο και της επίσπευσης επίλυσης των παραβάσεων β) λειτουργίας των ευρωπαϊκών δικτύων </w:t>
      </w:r>
      <w:r>
        <w:rPr>
          <w:i/>
          <w:iCs/>
          <w:sz w:val="24"/>
          <w:szCs w:val="24"/>
          <w:lang w:val="en-US"/>
        </w:rPr>
        <w:t>IMI</w:t>
      </w:r>
      <w:r>
        <w:rPr>
          <w:i/>
          <w:iCs/>
          <w:sz w:val="24"/>
          <w:szCs w:val="24"/>
        </w:rPr>
        <w:t xml:space="preserve">, </w:t>
      </w:r>
      <w:r>
        <w:rPr>
          <w:i/>
          <w:iCs/>
          <w:sz w:val="24"/>
          <w:szCs w:val="24"/>
          <w:lang w:val="en-US"/>
        </w:rPr>
        <w:t>SOLVIT</w:t>
      </w:r>
      <w:r>
        <w:rPr>
          <w:i/>
          <w:iCs/>
          <w:sz w:val="24"/>
          <w:szCs w:val="24"/>
        </w:rPr>
        <w:t xml:space="preserve"> (σε εθνικό επίπεδο) και </w:t>
      </w:r>
      <w:r>
        <w:rPr>
          <w:i/>
          <w:iCs/>
          <w:sz w:val="24"/>
          <w:szCs w:val="24"/>
          <w:lang w:val="en-US"/>
        </w:rPr>
        <w:t>EUPILOT</w:t>
      </w:r>
      <w:r>
        <w:rPr>
          <w:i/>
          <w:iCs/>
          <w:sz w:val="24"/>
          <w:szCs w:val="24"/>
        </w:rPr>
        <w:t xml:space="preserve"> (σε επίπεδο ΥΠΟΙΚ),</w:t>
      </w:r>
    </w:p>
    <w:p w:rsidR="00442407" w:rsidRDefault="00442407" w:rsidP="00442407">
      <w:pPr>
        <w:jc w:val="both"/>
        <w:rPr>
          <w:sz w:val="10"/>
          <w:szCs w:val="10"/>
        </w:rPr>
      </w:pPr>
    </w:p>
    <w:p w:rsidR="00442407" w:rsidRDefault="00442407" w:rsidP="00442407">
      <w:pPr>
        <w:jc w:val="both"/>
        <w:rPr>
          <w:rFonts w:ascii="Calibri" w:hAnsi="Calibri" w:cs="Calibri"/>
        </w:rPr>
      </w:pPr>
      <w:r>
        <w:rPr>
          <w:rFonts w:ascii="Calibri" w:hAnsi="Calibri" w:cs="Calibri"/>
        </w:rPr>
        <w:t xml:space="preserve">Οι εθνικές επιδόσεις κατά θεματική ενότητα, που καταγράφονται στον εν λόγω Πίνακα είναι οι ακόλουθες: </w:t>
      </w:r>
    </w:p>
    <w:p w:rsidR="00442407" w:rsidRDefault="00442407" w:rsidP="00442407">
      <w:pPr>
        <w:jc w:val="both"/>
        <w:rPr>
          <w:sz w:val="10"/>
          <w:szCs w:val="10"/>
        </w:rPr>
      </w:pPr>
    </w:p>
    <w:p w:rsidR="00442407" w:rsidRDefault="00442407" w:rsidP="00442407">
      <w:pPr>
        <w:pStyle w:val="2"/>
        <w:spacing w:before="0" w:line="240" w:lineRule="auto"/>
        <w:rPr>
          <w:rFonts w:ascii="Calibri" w:eastAsia="Times New Roman" w:hAnsi="Calibri" w:cs="Calibri"/>
          <w:color w:val="548DD4"/>
          <w:sz w:val="22"/>
          <w:szCs w:val="22"/>
        </w:rPr>
      </w:pPr>
      <w:r>
        <w:rPr>
          <w:rFonts w:ascii="Calibri" w:eastAsia="Times New Roman" w:hAnsi="Calibri" w:cs="Calibri"/>
          <w:color w:val="548DD4"/>
          <w:sz w:val="22"/>
          <w:szCs w:val="22"/>
        </w:rPr>
        <w:t>Μεταφορά ενωσιακής νομοθεσίας (σε εθνικό επίπεδο)</w:t>
      </w:r>
    </w:p>
    <w:p w:rsidR="00442407" w:rsidRDefault="00442407" w:rsidP="00442407">
      <w:pPr>
        <w:pStyle w:val="Web"/>
        <w:spacing w:before="0" w:beforeAutospacing="0" w:after="0" w:afterAutospacing="0"/>
        <w:jc w:val="both"/>
        <w:rPr>
          <w:rFonts w:ascii="Calibri" w:hAnsi="Calibri" w:cs="Calibri"/>
        </w:rPr>
      </w:pPr>
      <w:r>
        <w:rPr>
          <w:rFonts w:ascii="Calibri" w:hAnsi="Calibri" w:cs="Calibri"/>
        </w:rPr>
        <w:t xml:space="preserve">Το ελληνικό έλλειμμα προσαρμογής συνέχισε να μειώνεται τους τελευταίους έξι μήνες, φτάνοντας τώρα στο </w:t>
      </w:r>
      <w:r>
        <w:rPr>
          <w:rFonts w:ascii="Calibri" w:hAnsi="Calibri" w:cs="Calibri"/>
          <w:b/>
          <w:bCs/>
        </w:rPr>
        <w:t>0.3%</w:t>
      </w:r>
      <w:r>
        <w:rPr>
          <w:rFonts w:ascii="Calibri" w:hAnsi="Calibri" w:cs="Calibri"/>
        </w:rPr>
        <w:t>. Για την Ελλάδα αυτό είναι το καλύτερο ποσοστό που έχει επιτευχθεί μέχρι στιγμής και είναι σημαντικά χαμηλότερο από το μέσο όρο της Ε.Ε (</w:t>
      </w:r>
      <w:r>
        <w:rPr>
          <w:rFonts w:ascii="Calibri" w:hAnsi="Calibri" w:cs="Calibri"/>
          <w:b/>
          <w:bCs/>
        </w:rPr>
        <w:t xml:space="preserve">0.7%) </w:t>
      </w:r>
      <w:r>
        <w:rPr>
          <w:rFonts w:ascii="Calibri" w:hAnsi="Calibri" w:cs="Calibri"/>
        </w:rPr>
        <w:t>όπως και χαμηλότερο από τον προτεινόμενο στόχο (</w:t>
      </w:r>
      <w:r>
        <w:rPr>
          <w:rFonts w:ascii="Calibri" w:hAnsi="Calibri" w:cs="Calibri"/>
          <w:b/>
          <w:bCs/>
        </w:rPr>
        <w:t>0.5%</w:t>
      </w:r>
      <w:r>
        <w:rPr>
          <w:rFonts w:ascii="Calibri" w:hAnsi="Calibri" w:cs="Calibri"/>
        </w:rPr>
        <w:t xml:space="preserve">.) Κατ’ επέκταση, η χώρα μας συνεχίζει τη θετική παρουσία των τελευταίων ετών στον τομέα της προσαρμογής. </w:t>
      </w:r>
      <w:r>
        <w:rPr>
          <w:rFonts w:ascii="Calibri" w:hAnsi="Calibri" w:cs="Calibri"/>
          <w:b/>
          <w:bCs/>
        </w:rPr>
        <w:t>Η Ελλάδα πέτυχε για ακόμη μια φορά το στόχο της «μηδενικής ανοχής»</w:t>
      </w:r>
      <w:r>
        <w:rPr>
          <w:rFonts w:ascii="Calibri" w:hAnsi="Calibri" w:cs="Calibri"/>
        </w:rPr>
        <w:t xml:space="preserve"> για Οδηγίες που η ενσωμάτωση τους είναι εκπρόθεσμη κατά δύο ή περισσότερα χρόνια, χωρίς στην περίπτωση αυτή να εμπίπτει καμία Οδηγία. Ο χρόνος καθυστέρησης ενσωμάτωσης για τις εκπρόθεσμες Οδηγίες έχει αυξηθεί στους 5.2 μήνες, αλλά αυτό το στοιχείο εξακολουθεί να είναι κάτω από μέσο όρο των 7.3 μηνών της Ε.Ε. </w:t>
      </w:r>
    </w:p>
    <w:p w:rsidR="00442407" w:rsidRDefault="00442407" w:rsidP="00442407">
      <w:pPr>
        <w:pStyle w:val="Web"/>
        <w:spacing w:before="0" w:beforeAutospacing="0" w:after="0" w:afterAutospacing="0"/>
        <w:jc w:val="both"/>
        <w:rPr>
          <w:rFonts w:ascii="Calibri" w:hAnsi="Calibri" w:cs="Calibri"/>
          <w:sz w:val="10"/>
          <w:szCs w:val="10"/>
        </w:rPr>
      </w:pPr>
    </w:p>
    <w:p w:rsidR="00442407" w:rsidRDefault="00442407" w:rsidP="00442407">
      <w:pPr>
        <w:pStyle w:val="2"/>
        <w:spacing w:before="0" w:line="240" w:lineRule="auto"/>
        <w:rPr>
          <w:rFonts w:ascii="Calibri" w:eastAsia="Times New Roman" w:hAnsi="Calibri" w:cs="Calibri"/>
          <w:color w:val="548DD4"/>
          <w:sz w:val="22"/>
          <w:szCs w:val="22"/>
        </w:rPr>
      </w:pPr>
      <w:r>
        <w:rPr>
          <w:rFonts w:ascii="Calibri" w:eastAsia="Times New Roman" w:hAnsi="Calibri" w:cs="Calibri"/>
          <w:color w:val="548DD4"/>
          <w:sz w:val="22"/>
          <w:szCs w:val="22"/>
        </w:rPr>
        <w:t>Παραβάσεις (σε εθνικό επίπεδο)</w:t>
      </w:r>
    </w:p>
    <w:p w:rsidR="00442407" w:rsidRDefault="00442407" w:rsidP="00442407">
      <w:pPr>
        <w:pStyle w:val="a4"/>
        <w:jc w:val="both"/>
        <w:rPr>
          <w:sz w:val="24"/>
          <w:szCs w:val="24"/>
        </w:rPr>
      </w:pPr>
      <w:r>
        <w:rPr>
          <w:sz w:val="24"/>
          <w:szCs w:val="24"/>
        </w:rPr>
        <w:t xml:space="preserve">Παρότι ο αριθμός των υποθέσεων σε εκκρεμότητα έχει μειωθεί κατά δύο τους προηγούμενους έξι μήνες, το ποσοστό παραβάσεων της χώρας μας σε θέματα Ενιαίας Αγοράς παραμένει υψηλό. Το χρονικό διάστημα ανάμεσα στην εκδίκαση των υποθέσεων και της συμμόρφωσης με την νομοθεσία της Ε.Ε είναι 22.7 μήνες, δηλαδή περισσότερο από μέσο όρο της Ε.Ε των 18.9 μηνών. </w:t>
      </w:r>
    </w:p>
    <w:p w:rsidR="00442407" w:rsidRDefault="00442407" w:rsidP="00442407">
      <w:pPr>
        <w:pStyle w:val="a4"/>
        <w:jc w:val="both"/>
        <w:rPr>
          <w:sz w:val="24"/>
          <w:szCs w:val="24"/>
        </w:rPr>
      </w:pPr>
    </w:p>
    <w:p w:rsidR="00442407" w:rsidRDefault="00442407" w:rsidP="00442407">
      <w:pPr>
        <w:pStyle w:val="2"/>
        <w:spacing w:before="0" w:line="240" w:lineRule="auto"/>
        <w:rPr>
          <w:rFonts w:ascii="Calibri" w:eastAsia="Times New Roman" w:hAnsi="Calibri" w:cs="Calibri"/>
          <w:color w:val="548DD4"/>
          <w:sz w:val="22"/>
          <w:szCs w:val="22"/>
        </w:rPr>
      </w:pPr>
      <w:bookmarkStart w:id="0" w:name="maincontentSec3"/>
      <w:bookmarkEnd w:id="0"/>
      <w:r>
        <w:rPr>
          <w:rFonts w:ascii="Calibri" w:eastAsia="Times New Roman" w:hAnsi="Calibri" w:cs="Calibri"/>
          <w:color w:val="548DD4"/>
          <w:sz w:val="22"/>
          <w:szCs w:val="22"/>
        </w:rPr>
        <w:t>EUPILOT (σε εθνικό επίπεδο)</w:t>
      </w:r>
    </w:p>
    <w:p w:rsidR="00442407" w:rsidRDefault="00442407" w:rsidP="00442407">
      <w:pPr>
        <w:pStyle w:val="el"/>
        <w:spacing w:before="0" w:beforeAutospacing="0" w:after="0" w:afterAutospacing="0"/>
        <w:jc w:val="both"/>
        <w:rPr>
          <w:rFonts w:ascii="Calibri" w:hAnsi="Calibri" w:cs="Calibri"/>
        </w:rPr>
      </w:pPr>
      <w:r>
        <w:rPr>
          <w:rFonts w:ascii="Calibri" w:hAnsi="Calibri" w:cs="Calibri"/>
        </w:rPr>
        <w:t xml:space="preserve">Ο μέσος χρόνος απόκρισης σε υποθέσεις εμπίπτει εντός της προθεσμίας των 70 ημερών που έχει τεθεί από την ΕΕ. </w:t>
      </w:r>
    </w:p>
    <w:p w:rsidR="00442407" w:rsidRDefault="00442407" w:rsidP="00442407">
      <w:pPr>
        <w:pStyle w:val="el"/>
        <w:spacing w:before="0" w:beforeAutospacing="0" w:after="0" w:afterAutospacing="0"/>
        <w:jc w:val="both"/>
        <w:rPr>
          <w:rFonts w:ascii="Calibri" w:hAnsi="Calibri" w:cs="Calibri"/>
          <w:sz w:val="18"/>
          <w:szCs w:val="18"/>
        </w:rPr>
      </w:pPr>
    </w:p>
    <w:p w:rsidR="00442407" w:rsidRDefault="00442407" w:rsidP="00442407">
      <w:pPr>
        <w:pStyle w:val="2"/>
        <w:spacing w:before="0" w:line="240" w:lineRule="auto"/>
        <w:rPr>
          <w:rFonts w:ascii="Calibri" w:eastAsia="Times New Roman" w:hAnsi="Calibri" w:cs="Calibri"/>
          <w:color w:val="548DD4"/>
          <w:sz w:val="22"/>
          <w:szCs w:val="22"/>
        </w:rPr>
      </w:pPr>
      <w:r>
        <w:rPr>
          <w:rFonts w:ascii="Calibri" w:eastAsia="Times New Roman" w:hAnsi="Calibri" w:cs="Calibri"/>
          <w:color w:val="548DD4"/>
          <w:sz w:val="22"/>
          <w:szCs w:val="22"/>
        </w:rPr>
        <w:lastRenderedPageBreak/>
        <w:t xml:space="preserve">Σύστημα Πληροφόρησης Εσωτερικής Αγοράς (ΙΜΙ) </w:t>
      </w:r>
    </w:p>
    <w:p w:rsidR="00442407" w:rsidRDefault="00442407" w:rsidP="00442407">
      <w:pPr>
        <w:pStyle w:val="Web"/>
        <w:spacing w:before="0" w:beforeAutospacing="0" w:after="0" w:afterAutospacing="0"/>
        <w:jc w:val="both"/>
        <w:rPr>
          <w:rFonts w:ascii="Calibri" w:hAnsi="Calibri" w:cs="Calibri"/>
        </w:rPr>
      </w:pPr>
      <w:r>
        <w:rPr>
          <w:rFonts w:ascii="Calibri" w:hAnsi="Calibri" w:cs="Calibri"/>
        </w:rPr>
        <w:t>Το IMI λειτουργεί αποτελεσματικά στη χώρα μας. Ο χρόνος που απαιτείται για να γίνουν δεκτά τα αιτήματα και το ποσοστό των αιτημάτων που απαντώνται μέσα στη συμφωνηθείσα ημερομηνία λήξης προθεσμίας είναι πάνω από το μέσο όρο. Ειδικότερα:</w:t>
      </w:r>
    </w:p>
    <w:p w:rsidR="00442407" w:rsidRDefault="00442407" w:rsidP="00442407">
      <w:pPr>
        <w:pStyle w:val="Web"/>
        <w:spacing w:before="0" w:beforeAutospacing="0" w:after="0" w:afterAutospacing="0"/>
        <w:jc w:val="both"/>
        <w:rPr>
          <w:rFonts w:ascii="Calibri" w:hAnsi="Calibri" w:cs="Calibri"/>
          <w:sz w:val="10"/>
          <w:szCs w:val="10"/>
        </w:rPr>
      </w:pPr>
    </w:p>
    <w:p w:rsidR="00442407" w:rsidRDefault="00442407" w:rsidP="00442407">
      <w:pPr>
        <w:pStyle w:val="Web"/>
        <w:numPr>
          <w:ilvl w:val="0"/>
          <w:numId w:val="1"/>
        </w:numPr>
        <w:spacing w:before="0" w:beforeAutospacing="0" w:after="0" w:afterAutospacing="0"/>
        <w:rPr>
          <w:rFonts w:ascii="Calibri" w:hAnsi="Calibri" w:cs="Calibri"/>
        </w:rPr>
      </w:pPr>
      <w:r>
        <w:rPr>
          <w:rFonts w:ascii="Calibri" w:hAnsi="Calibri" w:cs="Calibri"/>
        </w:rPr>
        <w:t xml:space="preserve">Αποδοχή αιτημάτων εντός μιας εβδομάδας 78% (μέσος όρος Ε.Ε: 74%) </w:t>
      </w:r>
    </w:p>
    <w:p w:rsidR="00442407" w:rsidRDefault="00442407" w:rsidP="00442407">
      <w:pPr>
        <w:pStyle w:val="Web"/>
        <w:numPr>
          <w:ilvl w:val="0"/>
          <w:numId w:val="1"/>
        </w:numPr>
        <w:spacing w:before="0" w:beforeAutospacing="0" w:after="0" w:afterAutospacing="0"/>
        <w:rPr>
          <w:rFonts w:ascii="Calibri" w:hAnsi="Calibri" w:cs="Calibri"/>
        </w:rPr>
      </w:pPr>
      <w:r>
        <w:rPr>
          <w:rFonts w:ascii="Calibri" w:hAnsi="Calibri" w:cs="Calibri"/>
        </w:rPr>
        <w:t xml:space="preserve">Αιτήματα που απαντώνται εντός της από κοινού συμφωνημένης προθεσμίας: 72% (μέσος όρος Ε.Ε: 64%)  </w:t>
      </w:r>
    </w:p>
    <w:p w:rsidR="00442407" w:rsidRDefault="00442407" w:rsidP="00442407">
      <w:pPr>
        <w:pStyle w:val="Web"/>
        <w:numPr>
          <w:ilvl w:val="0"/>
          <w:numId w:val="1"/>
        </w:numPr>
        <w:spacing w:before="0" w:beforeAutospacing="0" w:after="0" w:afterAutospacing="0"/>
        <w:rPr>
          <w:rFonts w:ascii="Calibri" w:hAnsi="Calibri" w:cs="Calibri"/>
        </w:rPr>
      </w:pPr>
      <w:r>
        <w:rPr>
          <w:rFonts w:ascii="Calibri" w:hAnsi="Calibri" w:cs="Calibri"/>
        </w:rPr>
        <w:t xml:space="preserve">Μέσος όρος χρόνου που απαιτείται για την απάντηση στα αιτήματα: 19 μέρες (μέσος όρος Ε.Ε: 22 ημέρες) </w:t>
      </w:r>
    </w:p>
    <w:p w:rsidR="00442407" w:rsidRDefault="00442407" w:rsidP="00442407">
      <w:pPr>
        <w:pStyle w:val="Web"/>
        <w:spacing w:before="0" w:beforeAutospacing="0" w:after="0" w:afterAutospacing="0"/>
        <w:ind w:left="709"/>
        <w:rPr>
          <w:rFonts w:ascii="Calibri" w:hAnsi="Calibri" w:cs="Calibri"/>
          <w:sz w:val="12"/>
          <w:szCs w:val="12"/>
        </w:rPr>
      </w:pPr>
    </w:p>
    <w:p w:rsidR="00442407" w:rsidRDefault="00442407" w:rsidP="00442407">
      <w:pPr>
        <w:pStyle w:val="Web"/>
        <w:spacing w:before="0" w:beforeAutospacing="0" w:after="0" w:afterAutospacing="0"/>
        <w:jc w:val="both"/>
        <w:rPr>
          <w:rFonts w:ascii="Calibri" w:hAnsi="Calibri" w:cs="Calibri"/>
        </w:rPr>
      </w:pPr>
      <w:r>
        <w:rPr>
          <w:rFonts w:ascii="Calibri" w:hAnsi="Calibri" w:cs="Calibri"/>
        </w:rPr>
        <w:t xml:space="preserve">Επιπρόσθετες ενέργειες για την αύξηση της ενημέρωσης αναφορικά με το ΙΜΙ μπορούν να οδηγήσουν σε αυξημένη χρήση και αξιοποίηση του ειδικότερα σε σχέση με τις Υπηρεσίες και την Τοποθέτηση Εργαζομένων. </w:t>
      </w:r>
    </w:p>
    <w:p w:rsidR="00442407" w:rsidRDefault="00442407" w:rsidP="00442407">
      <w:pPr>
        <w:pStyle w:val="Web"/>
        <w:spacing w:before="0" w:beforeAutospacing="0" w:after="0" w:afterAutospacing="0"/>
        <w:jc w:val="both"/>
      </w:pPr>
    </w:p>
    <w:p w:rsidR="00442407" w:rsidRDefault="00442407" w:rsidP="00442407">
      <w:pPr>
        <w:pStyle w:val="2"/>
        <w:spacing w:before="0" w:line="240" w:lineRule="auto"/>
        <w:rPr>
          <w:rFonts w:ascii="Calibri" w:eastAsia="Times New Roman" w:hAnsi="Calibri" w:cs="Calibri"/>
          <w:color w:val="548DD4"/>
          <w:sz w:val="22"/>
          <w:szCs w:val="22"/>
        </w:rPr>
      </w:pPr>
      <w:bookmarkStart w:id="1" w:name="maincontentSec7"/>
      <w:bookmarkEnd w:id="1"/>
      <w:r>
        <w:rPr>
          <w:rFonts w:ascii="Calibri" w:eastAsia="Times New Roman" w:hAnsi="Calibri" w:cs="Calibri"/>
          <w:color w:val="548DD4"/>
          <w:sz w:val="22"/>
          <w:szCs w:val="22"/>
        </w:rPr>
        <w:t>SOLVIT</w:t>
      </w:r>
    </w:p>
    <w:p w:rsidR="00442407" w:rsidRDefault="00442407" w:rsidP="00442407">
      <w:pPr>
        <w:pStyle w:val="Web"/>
        <w:spacing w:before="0" w:beforeAutospacing="0" w:after="0" w:afterAutospacing="0"/>
        <w:jc w:val="both"/>
        <w:rPr>
          <w:rFonts w:ascii="Calibri" w:hAnsi="Calibri" w:cs="Calibri"/>
        </w:rPr>
      </w:pPr>
      <w:r>
        <w:rPr>
          <w:rFonts w:ascii="Calibri" w:hAnsi="Calibri" w:cs="Calibri"/>
        </w:rPr>
        <w:t xml:space="preserve">Το εθνικό Κέντρο SOLVIT απασχολήθηκε με 51 υποθέσεις στην περίοδο αναφοράς (Μάρτιος 2012 μέχρι Φεβρουάριος 2013) έναντι 42 υποθέσεων την προηγούμενη περίοδο. Ο χρόνος για το χειρισμό υπόθεσης εναντίον της ελληνικής διοίκησης έχει μειωθεί σε 64 ημέρες και βρίσκεται πλέον κάτω από το όριο –στόχο που είναι μέχρι 70 ημέρες. </w:t>
      </w:r>
    </w:p>
    <w:p w:rsidR="00442407" w:rsidRDefault="00442407" w:rsidP="00442407">
      <w:pPr>
        <w:pStyle w:val="Web"/>
        <w:spacing w:before="0" w:beforeAutospacing="0" w:after="0" w:afterAutospacing="0"/>
        <w:rPr>
          <w:rFonts w:ascii="Calibri" w:hAnsi="Calibri" w:cs="Calibri"/>
          <w:sz w:val="10"/>
          <w:szCs w:val="10"/>
        </w:rPr>
      </w:pPr>
    </w:p>
    <w:p w:rsidR="00442407" w:rsidRDefault="00442407" w:rsidP="00442407">
      <w:pPr>
        <w:jc w:val="both"/>
        <w:rPr>
          <w:rFonts w:ascii="Calibri" w:hAnsi="Calibri" w:cs="Calibri"/>
          <w:sz w:val="14"/>
          <w:szCs w:val="14"/>
        </w:rPr>
      </w:pPr>
    </w:p>
    <w:p w:rsidR="00442407" w:rsidRDefault="00442407" w:rsidP="00442407">
      <w:pPr>
        <w:jc w:val="center"/>
      </w:pPr>
      <w:r>
        <w:rPr>
          <w:rFonts w:ascii="Comic Sans MS" w:hAnsi="Comic Sans MS"/>
          <w:b/>
          <w:bCs/>
          <w:noProof/>
        </w:rPr>
        <w:drawing>
          <wp:inline distT="0" distB="0" distL="0" distR="0">
            <wp:extent cx="6086475" cy="190500"/>
            <wp:effectExtent l="19050" t="0" r="9525"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r:link="rId8" cstate="print"/>
                    <a:srcRect/>
                    <a:stretch>
                      <a:fillRect/>
                    </a:stretch>
                  </pic:blipFill>
                  <pic:spPr bwMode="auto">
                    <a:xfrm>
                      <a:off x="0" y="0"/>
                      <a:ext cx="6086475" cy="190500"/>
                    </a:xfrm>
                    <a:prstGeom prst="rect">
                      <a:avLst/>
                    </a:prstGeom>
                    <a:noFill/>
                    <a:ln w="9525">
                      <a:noFill/>
                      <a:miter lim="800000"/>
                      <a:headEnd/>
                      <a:tailEnd/>
                    </a:ln>
                  </pic:spPr>
                </pic:pic>
              </a:graphicData>
            </a:graphic>
          </wp:inline>
        </w:drawing>
      </w:r>
    </w:p>
    <w:p w:rsidR="00442407" w:rsidRDefault="00442407" w:rsidP="00442407">
      <w:pPr>
        <w:jc w:val="both"/>
        <w:rPr>
          <w:rFonts w:ascii="Calibri" w:hAnsi="Calibri" w:cs="Calibri"/>
          <w:b/>
          <w:bCs/>
          <w:color w:val="000080"/>
          <w:sz w:val="40"/>
          <w:szCs w:val="40"/>
        </w:rPr>
      </w:pPr>
      <w:r>
        <w:rPr>
          <w:rFonts w:ascii="Calibri" w:hAnsi="Calibri" w:cs="Calibri"/>
          <w:b/>
          <w:bCs/>
          <w:color w:val="000080"/>
          <w:sz w:val="40"/>
          <w:szCs w:val="40"/>
        </w:rPr>
        <w:t xml:space="preserve">Οι εξελίξεις της Ενιαίας Αγοράς σε ευρωπαϊκό επίπεδο </w:t>
      </w:r>
    </w:p>
    <w:p w:rsidR="00442407" w:rsidRDefault="00442407" w:rsidP="00442407">
      <w:pPr>
        <w:jc w:val="both"/>
        <w:rPr>
          <w:rFonts w:ascii="Calibri" w:hAnsi="Calibri" w:cs="Calibri"/>
          <w:b/>
          <w:bCs/>
          <w:color w:val="000080"/>
          <w:sz w:val="40"/>
          <w:szCs w:val="40"/>
        </w:rPr>
      </w:pPr>
      <w:r>
        <w:rPr>
          <w:noProof/>
        </w:rPr>
        <w:drawing>
          <wp:anchor distT="0" distB="0" distL="47625" distR="47625" simplePos="0" relativeHeight="251658240" behindDoc="0" locked="0" layoutInCell="1" allowOverlap="0">
            <wp:simplePos x="0" y="0"/>
            <wp:positionH relativeFrom="column">
              <wp:posOffset>-309880</wp:posOffset>
            </wp:positionH>
            <wp:positionV relativeFrom="line">
              <wp:posOffset>159385</wp:posOffset>
            </wp:positionV>
            <wp:extent cx="871855" cy="712470"/>
            <wp:effectExtent l="19050" t="0" r="4445" b="0"/>
            <wp:wrapSquare wrapText="bothSides"/>
            <wp:docPr id="6" name="Εικόνα 2" descr="image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mage128"/>
                    <pic:cNvPicPr>
                      <a:picLocks noChangeAspect="1" noChangeArrowheads="1"/>
                    </pic:cNvPicPr>
                  </pic:nvPicPr>
                  <pic:blipFill>
                    <a:blip r:embed="rId9" cstate="print"/>
                    <a:srcRect/>
                    <a:stretch>
                      <a:fillRect/>
                    </a:stretch>
                  </pic:blipFill>
                  <pic:spPr bwMode="auto">
                    <a:xfrm>
                      <a:off x="0" y="0"/>
                      <a:ext cx="871855" cy="712470"/>
                    </a:xfrm>
                    <a:prstGeom prst="rect">
                      <a:avLst/>
                    </a:prstGeom>
                    <a:noFill/>
                  </pic:spPr>
                </pic:pic>
              </a:graphicData>
            </a:graphic>
          </wp:anchor>
        </w:drawing>
      </w:r>
    </w:p>
    <w:p w:rsidR="00442407" w:rsidRDefault="00442407" w:rsidP="00442407">
      <w:pPr>
        <w:rPr>
          <w:rFonts w:ascii="Calibri" w:hAnsi="Calibri" w:cs="Calibri"/>
          <w:b/>
          <w:bCs/>
          <w:color w:val="548DD4"/>
          <w:sz w:val="28"/>
          <w:szCs w:val="28"/>
        </w:rPr>
      </w:pPr>
      <w:r>
        <w:rPr>
          <w:rFonts w:ascii="Calibri" w:hAnsi="Calibri" w:cs="Calibri"/>
          <w:b/>
          <w:bCs/>
          <w:color w:val="548DD4"/>
          <w:sz w:val="28"/>
          <w:szCs w:val="28"/>
        </w:rPr>
        <w:t>Αναδιάρθρωση του τραπεζικού τομέα της ΕΕ</w:t>
      </w:r>
    </w:p>
    <w:p w:rsidR="00442407" w:rsidRDefault="00442407" w:rsidP="00442407">
      <w:pPr>
        <w:pStyle w:val="astandard3520normal"/>
        <w:spacing w:after="0"/>
        <w:rPr>
          <w:rFonts w:ascii="Calibri" w:hAnsi="Calibri" w:cs="Calibri"/>
          <w:sz w:val="22"/>
          <w:szCs w:val="22"/>
        </w:rPr>
      </w:pPr>
      <w:r>
        <w:rPr>
          <w:rFonts w:ascii="Calibri" w:hAnsi="Calibri" w:cs="Calibri"/>
          <w:sz w:val="22"/>
          <w:szCs w:val="22"/>
        </w:rPr>
        <w:t>Η Ευρωπαϊκή Επιτροπή πρότεινε (29/01/2014) νέους κανόνες για να αποτρέψει τις μεγαλύτερες και πλέον πολυσχιδείς τράπεζες από το να αναλαμβάνουν την επισφαλή δραστηριότητα της διαπραγμάτευσης τίτλων για ίδιο λογαριασμό. Βάσει των νέων κανόνων, οι εποπτικές αρχές θα έχουν επίσης την εξουσία να απαιτούν από αυτές τις τράπεζες να διαχωρίζουν την αποδοχή καταθέσεων από ορισμένες δυνητικά επισφαλείς δραστηριότητες διαπραγμάτευσης, εάν η άσκηση αυτών των δραστηριοτήτων θέτει σε κίνδυνο τη χρηματοπιστωτική σταθερότητα. Παράλληλα με αυτήν την πρόταση, η Επιτροπή ενέκρινε συνοδευτικά μέτρα που στοχεύουν στη βελτίωση της διαφάνειας ορισμένων συναλλαγών που διενεργούνται στον σκιώδη τραπεζικό τομέα. Τα μέτρα αυτά συμπληρώνουν τις ευρείες μεταρρυθμίσεις που έχουν ήδη αναληφθεί για την ενίσχυση του χρηματοπιστωτικού τομέα της ΕΕ.</w:t>
      </w:r>
    </w:p>
    <w:p w:rsidR="00442407" w:rsidRDefault="00442407" w:rsidP="00442407">
      <w:pPr>
        <w:jc w:val="both"/>
        <w:rPr>
          <w:rFonts w:ascii="Arial" w:hAnsi="Arial" w:cs="Arial"/>
          <w:color w:val="074A8B"/>
          <w:sz w:val="6"/>
          <w:szCs w:val="6"/>
        </w:rPr>
      </w:pPr>
    </w:p>
    <w:p w:rsidR="00442407" w:rsidRDefault="00442407" w:rsidP="00442407">
      <w:pPr>
        <w:rPr>
          <w:rFonts w:ascii="Arial" w:hAnsi="Arial" w:cs="Arial"/>
          <w:color w:val="074A8B"/>
          <w:sz w:val="18"/>
          <w:szCs w:val="18"/>
        </w:rPr>
      </w:pPr>
      <w:r>
        <w:rPr>
          <w:rFonts w:ascii="Arial" w:hAnsi="Arial" w:cs="Arial"/>
          <w:noProof/>
          <w:color w:val="074A8B"/>
          <w:sz w:val="18"/>
          <w:szCs w:val="18"/>
        </w:rPr>
        <w:drawing>
          <wp:inline distT="0" distB="0" distL="0" distR="0">
            <wp:extent cx="47625" cy="47625"/>
            <wp:effectExtent l="19050" t="0" r="9525" b="0"/>
            <wp:docPr id="2" name="Εικόνα 2" descr="cid:image012.png@01CF597B.08ACD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png@01CF597B.08ACDE30"/>
                    <pic:cNvPicPr>
                      <a:picLocks noChangeAspect="1" noChangeArrowheads="1"/>
                    </pic:cNvPicPr>
                  </pic:nvPicPr>
                  <pic:blipFill>
                    <a:blip r:embed="rId10" r:link="rId11"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Pr>
          <w:rFonts w:ascii="Arial" w:hAnsi="Arial" w:cs="Arial"/>
          <w:color w:val="074A8B"/>
          <w:sz w:val="18"/>
          <w:szCs w:val="18"/>
        </w:rPr>
        <w:t> </w:t>
      </w:r>
      <w:hyperlink r:id="rId12" w:tgtFrame="_blank" w:history="1">
        <w:r>
          <w:rPr>
            <w:rStyle w:val="-"/>
            <w:b/>
            <w:bCs/>
            <w:sz w:val="18"/>
            <w:szCs w:val="18"/>
          </w:rPr>
          <w:t>More information</w:t>
        </w:r>
      </w:hyperlink>
      <w:r>
        <w:rPr>
          <w:rFonts w:ascii="Arial" w:hAnsi="Arial" w:cs="Arial"/>
          <w:color w:val="074A8B"/>
          <w:sz w:val="18"/>
          <w:szCs w:val="18"/>
        </w:rPr>
        <w:t xml:space="preserve"> (</w:t>
      </w:r>
      <w:r>
        <w:rPr>
          <w:rFonts w:ascii="Calibri" w:hAnsi="Calibri" w:cs="Calibri"/>
          <w:b/>
          <w:bCs/>
          <w:color w:val="074A8B"/>
          <w:sz w:val="20"/>
          <w:szCs w:val="20"/>
        </w:rPr>
        <w:t xml:space="preserve">για περισσότερες πληροφορίες πατήστε </w:t>
      </w:r>
      <w:r>
        <w:rPr>
          <w:rFonts w:ascii="Calibri" w:hAnsi="Calibri" w:cs="Calibri"/>
          <w:b/>
          <w:bCs/>
          <w:color w:val="074A8B"/>
          <w:sz w:val="20"/>
          <w:szCs w:val="20"/>
          <w:lang w:val="en-US"/>
        </w:rPr>
        <w:t>ctrl</w:t>
      </w:r>
      <w:r>
        <w:rPr>
          <w:rFonts w:ascii="Calibri" w:hAnsi="Calibri" w:cs="Calibri"/>
          <w:b/>
          <w:bCs/>
          <w:color w:val="074A8B"/>
          <w:sz w:val="20"/>
          <w:szCs w:val="20"/>
        </w:rPr>
        <w:t>+κλικ)</w:t>
      </w:r>
    </w:p>
    <w:p w:rsidR="00442407" w:rsidRDefault="00442407" w:rsidP="00442407">
      <w:pPr>
        <w:jc w:val="both"/>
        <w:rPr>
          <w:rFonts w:ascii="Calibri" w:hAnsi="Calibri" w:cs="Calibri"/>
          <w:sz w:val="18"/>
          <w:szCs w:val="18"/>
        </w:rPr>
      </w:pPr>
    </w:p>
    <w:p w:rsidR="00442407" w:rsidRDefault="00442407" w:rsidP="00442407">
      <w:pPr>
        <w:jc w:val="both"/>
        <w:rPr>
          <w:rFonts w:ascii="Calibri" w:hAnsi="Calibri" w:cs="Calibri"/>
          <w:sz w:val="8"/>
          <w:szCs w:val="8"/>
        </w:rPr>
      </w:pPr>
    </w:p>
    <w:p w:rsidR="00442407" w:rsidRDefault="00442407" w:rsidP="00442407">
      <w:pPr>
        <w:rPr>
          <w:rFonts w:ascii="Calibri" w:hAnsi="Calibri" w:cs="Calibri"/>
          <w:b/>
          <w:bCs/>
          <w:color w:val="548DD4"/>
          <w:sz w:val="28"/>
          <w:szCs w:val="28"/>
        </w:rPr>
      </w:pPr>
      <w:r>
        <w:rPr>
          <w:rFonts w:ascii="Calibri" w:hAnsi="Calibri" w:cs="Calibri"/>
          <w:b/>
          <w:bCs/>
          <w:color w:val="548DD4"/>
          <w:sz w:val="28"/>
          <w:szCs w:val="28"/>
        </w:rPr>
        <w:t xml:space="preserve">  </w:t>
      </w:r>
      <w:r>
        <w:rPr>
          <w:rFonts w:ascii="Arial" w:hAnsi="Arial" w:cs="Arial"/>
          <w:noProof/>
          <w:color w:val="074A8B"/>
          <w:sz w:val="18"/>
          <w:szCs w:val="18"/>
        </w:rPr>
        <w:drawing>
          <wp:inline distT="0" distB="0" distL="0" distR="0">
            <wp:extent cx="571500" cy="571500"/>
            <wp:effectExtent l="19050" t="0" r="0" b="0"/>
            <wp:docPr id="3" name="Εικόνα 3" descr="cid:image013.jpg@01CF597B.08ACD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jpg@01CF597B.08ACDE30"/>
                    <pic:cNvPicPr>
                      <a:picLocks noChangeAspect="1" noChangeArrowheads="1"/>
                    </pic:cNvPicPr>
                  </pic:nvPicPr>
                  <pic:blipFill>
                    <a:blip r:embed="rId13" r:link="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ascii="Calibri" w:hAnsi="Calibri" w:cs="Calibri"/>
          <w:b/>
          <w:bCs/>
          <w:color w:val="548DD4"/>
          <w:sz w:val="28"/>
          <w:szCs w:val="28"/>
        </w:rPr>
        <w:t>Χάρτης πορείας της Επιτροπής για την κάλυψη των μακροπρόθεσμων αναγκών χρηματοδότησης της ευρωπαϊκής οικονομίας</w:t>
      </w:r>
    </w:p>
    <w:p w:rsidR="00442407" w:rsidRDefault="00442407" w:rsidP="00442407">
      <w:pPr>
        <w:pStyle w:val="astandard3520normal"/>
        <w:rPr>
          <w:rFonts w:ascii="Calibri" w:hAnsi="Calibri" w:cs="Calibri"/>
          <w:sz w:val="22"/>
          <w:szCs w:val="22"/>
        </w:rPr>
      </w:pPr>
      <w:r>
        <w:rPr>
          <w:rFonts w:ascii="Calibri" w:hAnsi="Calibri" w:cs="Calibri"/>
          <w:sz w:val="22"/>
          <w:szCs w:val="22"/>
        </w:rPr>
        <w:lastRenderedPageBreak/>
        <w:t xml:space="preserve">Η Ευρωπαϊκή Επιτροπή ενέκρινε (27/03/2014) μια δέσμη μέτρων που σκοπό έχουν να προωθήσουν νέους και διαφορετικούς τρόπους για την άντληση μακροπρόθεσμης χρηματοδότησης και να στηρίξουν την επιστροφή της Ευρώπης σε μια πορεία βιώσιμης οικονομικής ανάπτυξης. Θα χρειαστούν σημαντικές μακροπρόθεσμες επενδύσεις στο πλαίσιο της </w:t>
      </w:r>
      <w:hyperlink r:id="rId15" w:history="1">
        <w:r>
          <w:rPr>
            <w:rStyle w:val="-"/>
            <w:rFonts w:ascii="Calibri" w:hAnsi="Calibri" w:cs="Calibri"/>
            <w:color w:val="auto"/>
            <w:sz w:val="22"/>
            <w:szCs w:val="22"/>
          </w:rPr>
          <w:t>στρατηγικής Ευρώπη 2020</w:t>
        </w:r>
      </w:hyperlink>
      <w:r>
        <w:rPr>
          <w:rFonts w:ascii="Calibri" w:hAnsi="Calibri" w:cs="Calibri"/>
          <w:sz w:val="22"/>
          <w:szCs w:val="22"/>
        </w:rPr>
        <w:t xml:space="preserve"> και της </w:t>
      </w:r>
      <w:hyperlink r:id="rId16" w:history="1">
        <w:r>
          <w:rPr>
            <w:rStyle w:val="-"/>
            <w:rFonts w:ascii="Calibri" w:hAnsi="Calibri" w:cs="Calibri"/>
            <w:color w:val="auto"/>
            <w:sz w:val="22"/>
            <w:szCs w:val="22"/>
          </w:rPr>
          <w:t>δέσμης μέτρων για το κλίμα και την ενέργεια 2030</w:t>
        </w:r>
      </w:hyperlink>
      <w:r>
        <w:rPr>
          <w:rFonts w:ascii="Calibri" w:hAnsi="Calibri" w:cs="Calibri"/>
          <w:sz w:val="22"/>
          <w:szCs w:val="22"/>
        </w:rPr>
        <w:t>, σε υποδομές, νέες τεχνολογίες και καινοτομία, Ε &amp; Α και σε ανθρώπινο κεφάλαιο. Οι επενδυτικές ανάγκες, όπως προσδιορίστηκαν στην πρωτοβουλία «Συνδέοντας την Ευρώπη», και μόνο στους τομείς των μεταφορών, της ενέργειας και των δικτύων τηλεπικοινωνιακών υποδομών ενωσιακής σπουδαιότητας εκτιμώνται σε 1 τρισεκατ. ευρώ για την περίοδο έως το 2020. Η σχετική ανακοίνωση αναφορικά με τη μακροπρόθεσμη χρηματοδότηση παρουσιάζει μια σειρά συγκεκριμένων δράσεων που θα αναλάβει η Επιτροπή για τη βελτίωση της μακροπρόθεσμης χρηματοδότησης της ευρωπαϊκής οικονομίας</w:t>
      </w:r>
      <w:r>
        <w:rPr>
          <w:sz w:val="22"/>
          <w:szCs w:val="22"/>
        </w:rPr>
        <w:t xml:space="preserve"> </w:t>
      </w:r>
      <w:r>
        <w:t>(</w:t>
      </w:r>
      <w:hyperlink r:id="rId17" w:history="1">
        <w:r>
          <w:rPr>
            <w:rStyle w:val="-"/>
            <w:rFonts w:ascii="Calibri" w:hAnsi="Calibri" w:cs="Calibri"/>
            <w:b/>
            <w:bCs/>
            <w:sz w:val="22"/>
            <w:szCs w:val="22"/>
          </w:rPr>
          <w:t>MEMO/14/238</w:t>
        </w:r>
      </w:hyperlink>
      <w:r>
        <w:t>)</w:t>
      </w:r>
      <w:r>
        <w:rPr>
          <w:rStyle w:val="at21"/>
        </w:rPr>
        <w:t xml:space="preserve"> </w:t>
      </w:r>
    </w:p>
    <w:p w:rsidR="00442407" w:rsidRDefault="00442407" w:rsidP="00442407">
      <w:pPr>
        <w:jc w:val="both"/>
        <w:rPr>
          <w:rFonts w:ascii="Calibri" w:hAnsi="Calibri" w:cs="Calibri"/>
          <w:sz w:val="20"/>
          <w:szCs w:val="20"/>
        </w:rPr>
      </w:pPr>
      <w:r>
        <w:rPr>
          <w:rFonts w:ascii="Calibri" w:hAnsi="Calibri" w:cs="Calibri"/>
          <w:noProof/>
          <w:color w:val="074A8B"/>
          <w:sz w:val="20"/>
          <w:szCs w:val="20"/>
        </w:rPr>
        <w:drawing>
          <wp:inline distT="0" distB="0" distL="0" distR="0">
            <wp:extent cx="47625" cy="47625"/>
            <wp:effectExtent l="19050" t="0" r="9525" b="0"/>
            <wp:docPr id="4" name="Εικόνα 4" descr="cid:image012.png@01CF597B.08ACD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png@01CF597B.08ACDE30"/>
                    <pic:cNvPicPr>
                      <a:picLocks noChangeAspect="1" noChangeArrowheads="1"/>
                    </pic:cNvPicPr>
                  </pic:nvPicPr>
                  <pic:blipFill>
                    <a:blip r:embed="rId10" r:link="rId11"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Pr>
          <w:rFonts w:ascii="Calibri" w:hAnsi="Calibri" w:cs="Calibri"/>
          <w:color w:val="074A8B"/>
          <w:sz w:val="20"/>
          <w:szCs w:val="20"/>
        </w:rPr>
        <w:t xml:space="preserve">  </w:t>
      </w:r>
      <w:hyperlink r:id="rId18" w:tgtFrame="_blank" w:history="1">
        <w:r>
          <w:rPr>
            <w:rStyle w:val="-"/>
            <w:rFonts w:ascii="Calibri" w:hAnsi="Calibri" w:cs="Calibri"/>
            <w:b/>
            <w:bCs/>
            <w:sz w:val="20"/>
            <w:szCs w:val="20"/>
          </w:rPr>
          <w:t>More information</w:t>
        </w:r>
      </w:hyperlink>
      <w:r>
        <w:rPr>
          <w:rFonts w:ascii="Calibri" w:hAnsi="Calibri" w:cs="Calibri"/>
          <w:color w:val="074A8B"/>
          <w:sz w:val="20"/>
          <w:szCs w:val="20"/>
        </w:rPr>
        <w:t xml:space="preserve"> </w:t>
      </w:r>
      <w:r>
        <w:rPr>
          <w:rFonts w:ascii="Arial" w:hAnsi="Arial" w:cs="Arial"/>
          <w:color w:val="074A8B"/>
          <w:sz w:val="18"/>
          <w:szCs w:val="18"/>
        </w:rPr>
        <w:t>(</w:t>
      </w:r>
      <w:r>
        <w:rPr>
          <w:rFonts w:ascii="Calibri" w:hAnsi="Calibri" w:cs="Calibri"/>
          <w:b/>
          <w:bCs/>
          <w:color w:val="074A8B"/>
          <w:sz w:val="20"/>
          <w:szCs w:val="20"/>
        </w:rPr>
        <w:t xml:space="preserve">για περισσότερες πληροφορίες πατήστε </w:t>
      </w:r>
      <w:r>
        <w:rPr>
          <w:rFonts w:ascii="Calibri" w:hAnsi="Calibri" w:cs="Calibri"/>
          <w:b/>
          <w:bCs/>
          <w:color w:val="074A8B"/>
          <w:sz w:val="20"/>
          <w:szCs w:val="20"/>
          <w:lang w:val="en-US"/>
        </w:rPr>
        <w:t>ctrl</w:t>
      </w:r>
      <w:r>
        <w:rPr>
          <w:rFonts w:ascii="Calibri" w:hAnsi="Calibri" w:cs="Calibri"/>
          <w:b/>
          <w:bCs/>
          <w:color w:val="074A8B"/>
          <w:sz w:val="20"/>
          <w:szCs w:val="20"/>
        </w:rPr>
        <w:t>+κλικ)</w:t>
      </w:r>
    </w:p>
    <w:p w:rsidR="00442407" w:rsidRDefault="00442407" w:rsidP="00442407">
      <w:pPr>
        <w:pStyle w:val="astandard3320titre"/>
        <w:jc w:val="both"/>
        <w:rPr>
          <w:rFonts w:ascii="Calibri" w:hAnsi="Calibri" w:cs="Calibri"/>
          <w:color w:val="548DD4"/>
          <w:sz w:val="28"/>
          <w:szCs w:val="28"/>
        </w:rPr>
      </w:pPr>
      <w:r>
        <w:rPr>
          <w:noProof/>
          <w:color w:val="074A8B"/>
          <w:sz w:val="18"/>
          <w:szCs w:val="18"/>
        </w:rPr>
        <w:drawing>
          <wp:inline distT="0" distB="0" distL="0" distR="0">
            <wp:extent cx="571500" cy="571500"/>
            <wp:effectExtent l="19050" t="0" r="0" b="0"/>
            <wp:docPr id="5" name="Εικόνα 5" descr="cid:image014.jpg@01CF597B.08ACD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4.jpg@01CF597B.08ACDE30"/>
                    <pic:cNvPicPr>
                      <a:picLocks noChangeAspect="1" noChangeArrowheads="1"/>
                    </pic:cNvPicPr>
                  </pic:nvPicPr>
                  <pic:blipFill>
                    <a:blip r:embed="rId19" r:link="rId2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ascii="Calibri" w:hAnsi="Calibri" w:cs="Calibri"/>
          <w:color w:val="548DD4"/>
          <w:sz w:val="28"/>
          <w:szCs w:val="28"/>
        </w:rPr>
        <w:t>Ελεύθερη κυκλοφορία των προσώπων: η Επιτροπή κατά των φορολογικών διακρίσεων που πλήττουν την κινητικότητα των πολιτών της ΕΕ</w:t>
      </w:r>
    </w:p>
    <w:p w:rsidR="00442407" w:rsidRDefault="00442407" w:rsidP="00442407">
      <w:pPr>
        <w:pStyle w:val="astandard3520normal"/>
        <w:spacing w:after="0"/>
        <w:rPr>
          <w:rFonts w:ascii="Calibri" w:hAnsi="Calibri" w:cs="Calibri"/>
          <w:sz w:val="22"/>
          <w:szCs w:val="22"/>
        </w:rPr>
      </w:pPr>
      <w:r>
        <w:rPr>
          <w:rFonts w:ascii="Calibri" w:hAnsi="Calibri" w:cs="Calibri"/>
          <w:sz w:val="22"/>
          <w:szCs w:val="22"/>
        </w:rPr>
        <w:t>Στο πλαίσιο μιας στοχοθετημένης πρωτοβουλίας που ξεκίνησε η Επιτροπή, πρόκειται να εξεταστούν διεξοδικά οι φορολογικές διατάξεις των κρατών μελών ώστε να διασφαλιστεί ότι δεν περιέχουν διακρίσεις εις βάρος πολιτών της ΕΕ που μετακινούνται εντός των συνόρων της. Η εξέταση θα επεκταθεί τόσο στα οικονομικώς ενεργά άτομα, όπως οι μισθωτοί και οι αυτοαπασχολούμενοι, όσο και στα μη ενεργά, όπως οι συνταξιούχοι. Η πρωτοβουλία αυτή συμπληρώνει και ολοκληρώνει προηγούμενη εξέταση η οποία κάλυψε τη φορολογική μεταχείριση των διασυνοριακών εργαζομένων (</w:t>
      </w:r>
      <w:hyperlink r:id="rId21" w:history="1">
        <w:r>
          <w:rPr>
            <w:rStyle w:val="-"/>
            <w:rFonts w:ascii="Calibri" w:hAnsi="Calibri" w:cs="Calibri"/>
            <w:color w:val="auto"/>
            <w:sz w:val="22"/>
            <w:szCs w:val="22"/>
          </w:rPr>
          <w:t>IP/12/340</w:t>
        </w:r>
      </w:hyperlink>
      <w:r>
        <w:rPr>
          <w:rFonts w:ascii="Calibri" w:hAnsi="Calibri" w:cs="Calibri"/>
          <w:sz w:val="22"/>
          <w:szCs w:val="22"/>
        </w:rPr>
        <w:t>).</w:t>
      </w:r>
    </w:p>
    <w:p w:rsidR="00442407" w:rsidRDefault="00442407" w:rsidP="00442407">
      <w:pPr>
        <w:pStyle w:val="astandard3520normal"/>
        <w:spacing w:after="0"/>
        <w:rPr>
          <w:rFonts w:ascii="Calibri" w:hAnsi="Calibri" w:cs="Calibri"/>
          <w:sz w:val="22"/>
          <w:szCs w:val="22"/>
        </w:rPr>
      </w:pPr>
      <w:r>
        <w:rPr>
          <w:rFonts w:ascii="Calibri" w:hAnsi="Calibri" w:cs="Calibri"/>
          <w:sz w:val="22"/>
          <w:szCs w:val="22"/>
        </w:rPr>
        <w:t>Η κινητικότητα των εργαζομένων είναι αποδεδειγμένα καθοριστικός παράγοντας για την τόνωση της ανάπτυξης και την αύξηση της απασχόλησης στην Ευρώπη. Στην ΕΕ-15, το ΑΕΠ εκτιμάται ότι αυξήθηκε κατά σχεδόν 1% ως αποτέλεσμα της κινητικότητας που σημειώθηκε μετά τη διεύρυνση της ΕΕ (2004-2009). Ωστόσο, τα φορολογικά εμπόδια παραμένουν ένας από τους βασικούς παράγοντες που αποτρέπουν τους πολίτες της ΕΕ από το να αφήνουν τη χώρα τους και να αναζητούν εργασία σε άλλο κράτος μέλος. Φορολογικά εμπόδια μπορούν να προκύψουν είτε στο κράτος προέλευσης είτε στο κράτος διαμονής.</w:t>
      </w:r>
    </w:p>
    <w:p w:rsidR="00442407" w:rsidRDefault="00442407" w:rsidP="00442407">
      <w:pPr>
        <w:pStyle w:val="astandard3520normal"/>
        <w:spacing w:after="0"/>
        <w:rPr>
          <w:rFonts w:ascii="Calibri" w:hAnsi="Calibri" w:cs="Calibri"/>
          <w:sz w:val="22"/>
          <w:szCs w:val="22"/>
        </w:rPr>
      </w:pPr>
      <w:r>
        <w:rPr>
          <w:rFonts w:ascii="Calibri" w:hAnsi="Calibri" w:cs="Calibri"/>
          <w:sz w:val="22"/>
          <w:szCs w:val="22"/>
        </w:rPr>
        <w:t>Για το λόγο αυτό, η Επιτροπή θα προβεί εντός του 2014 σε διεξοδική αξιολόγηση των φορολογικών καθεστώτων των κρατών μελών ώστε να προσδιοριστεί κατά πόσο αυτά θέτουν σε μειονεκτική θέση τους Ευρωπαίους πολίτες που μετακινούνται εντός της ΕΕ. Εφόσον διαπιστωθούν δυσμενείς διακρίσεις ή παραβιάσεις των θεμελιωδών ελευθεριών της ΕΕ, η Επιτροπή θα τις επισημάνει στις εθνικές αρχές και, στη συνέχεια, θα καλέσει τις εν λόγω αρχές να προβούν στις αναγκαίες τροποποιήσεις. Εάν δεν επιλυθούν τα προβλήματα, η Επιτροπή θα κινήσει διαδικασίες επί παραβάσει κατά των συγκεκριμένων κρατών μελών.</w:t>
      </w:r>
    </w:p>
    <w:p w:rsidR="00442407" w:rsidRDefault="00442407" w:rsidP="00442407">
      <w:pPr>
        <w:jc w:val="both"/>
        <w:rPr>
          <w:rFonts w:ascii="Calibri" w:hAnsi="Calibri" w:cs="Calibri"/>
          <w:b/>
          <w:bCs/>
          <w:sz w:val="20"/>
          <w:szCs w:val="20"/>
        </w:rPr>
      </w:pPr>
      <w:hyperlink r:id="rId22" w:history="1">
        <w:r>
          <w:rPr>
            <w:rStyle w:val="-"/>
            <w:rFonts w:ascii="Calibri" w:hAnsi="Calibri" w:cs="Calibri"/>
            <w:b/>
            <w:bCs/>
            <w:sz w:val="20"/>
            <w:szCs w:val="20"/>
          </w:rPr>
          <w:t>http://europa.eu/rapid/press-release_IP-14-31_el.htm</w:t>
        </w:r>
      </w:hyperlink>
    </w:p>
    <w:p w:rsidR="001842AB" w:rsidRDefault="001842AB"/>
    <w:sectPr w:rsidR="001842AB" w:rsidSect="001842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6F" w:rsidRDefault="000E7C6F" w:rsidP="00442407">
      <w:r>
        <w:separator/>
      </w:r>
    </w:p>
  </w:endnote>
  <w:endnote w:type="continuationSeparator" w:id="0">
    <w:p w:rsidR="000E7C6F" w:rsidRDefault="000E7C6F" w:rsidP="00442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6F" w:rsidRDefault="000E7C6F" w:rsidP="00442407">
      <w:r>
        <w:separator/>
      </w:r>
    </w:p>
  </w:footnote>
  <w:footnote w:type="continuationSeparator" w:id="0">
    <w:p w:rsidR="000E7C6F" w:rsidRDefault="000E7C6F" w:rsidP="00442407">
      <w:r>
        <w:continuationSeparator/>
      </w:r>
    </w:p>
  </w:footnote>
  <w:footnote w:id="1">
    <w:p w:rsidR="00442407" w:rsidRDefault="00442407" w:rsidP="00442407">
      <w:pPr>
        <w:pStyle w:val="a3"/>
        <w:spacing w:after="0" w:line="240" w:lineRule="auto"/>
        <w:jc w:val="both"/>
        <w:rPr>
          <w:sz w:val="16"/>
          <w:szCs w:val="16"/>
        </w:rPr>
      </w:pPr>
      <w:r>
        <w:rPr>
          <w:rStyle w:val="a5"/>
        </w:rPr>
        <w:t>[2]</w:t>
      </w:r>
      <w:r>
        <w:t xml:space="preserve"> Η διακυβέρνηση της Ενιαίας Αγοράς είναι η εφαρμογή μηχανισμών, κανόνων και πρακτικών για την  εφαρμογή του κανονιστικού πλαισίου στη λειτουργία της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56A0"/>
    <w:multiLevelType w:val="hybridMultilevel"/>
    <w:tmpl w:val="F3C0958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2407"/>
    <w:rsid w:val="000E7C6F"/>
    <w:rsid w:val="001842AB"/>
    <w:rsid w:val="00442407"/>
    <w:rsid w:val="005054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07"/>
    <w:pPr>
      <w:spacing w:after="0" w:line="240" w:lineRule="auto"/>
    </w:pPr>
    <w:rPr>
      <w:rFonts w:ascii="Times New Roman" w:hAnsi="Times New Roman" w:cs="Times New Roman"/>
      <w:sz w:val="24"/>
      <w:szCs w:val="24"/>
      <w:lang w:eastAsia="el-GR"/>
    </w:rPr>
  </w:style>
  <w:style w:type="paragraph" w:styleId="2">
    <w:name w:val="heading 2"/>
    <w:basedOn w:val="a"/>
    <w:link w:val="2Char"/>
    <w:uiPriority w:val="9"/>
    <w:semiHidden/>
    <w:unhideWhenUsed/>
    <w:qFormat/>
    <w:rsid w:val="00442407"/>
    <w:pPr>
      <w:keepNext/>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442407"/>
    <w:rPr>
      <w:rFonts w:ascii="Cambria" w:hAnsi="Cambria" w:cs="Times New Roman"/>
      <w:b/>
      <w:bCs/>
      <w:color w:val="4F81BD"/>
      <w:sz w:val="26"/>
      <w:szCs w:val="26"/>
      <w:lang w:eastAsia="el-GR"/>
    </w:rPr>
  </w:style>
  <w:style w:type="character" w:styleId="-">
    <w:name w:val="Hyperlink"/>
    <w:basedOn w:val="a0"/>
    <w:uiPriority w:val="99"/>
    <w:semiHidden/>
    <w:unhideWhenUsed/>
    <w:rsid w:val="00442407"/>
    <w:rPr>
      <w:color w:val="0000FF"/>
      <w:u w:val="single"/>
    </w:rPr>
  </w:style>
  <w:style w:type="paragraph" w:styleId="Web">
    <w:name w:val="Normal (Web)"/>
    <w:basedOn w:val="a"/>
    <w:uiPriority w:val="99"/>
    <w:semiHidden/>
    <w:unhideWhenUsed/>
    <w:rsid w:val="00442407"/>
    <w:pPr>
      <w:spacing w:before="100" w:beforeAutospacing="1" w:after="100" w:afterAutospacing="1"/>
    </w:pPr>
  </w:style>
  <w:style w:type="paragraph" w:styleId="a3">
    <w:name w:val="footnote text"/>
    <w:basedOn w:val="a"/>
    <w:link w:val="Char"/>
    <w:uiPriority w:val="99"/>
    <w:semiHidden/>
    <w:unhideWhenUsed/>
    <w:rsid w:val="00442407"/>
    <w:pPr>
      <w:spacing w:after="200" w:line="276" w:lineRule="auto"/>
    </w:pPr>
    <w:rPr>
      <w:rFonts w:ascii="Calibri" w:hAnsi="Calibri" w:cs="Calibri"/>
      <w:sz w:val="20"/>
      <w:szCs w:val="20"/>
    </w:rPr>
  </w:style>
  <w:style w:type="character" w:customStyle="1" w:styleId="Char">
    <w:name w:val="Κείμενο υποσημείωσης Char"/>
    <w:basedOn w:val="a0"/>
    <w:link w:val="a3"/>
    <w:uiPriority w:val="99"/>
    <w:semiHidden/>
    <w:rsid w:val="00442407"/>
    <w:rPr>
      <w:rFonts w:ascii="Calibri" w:hAnsi="Calibri" w:cs="Calibri"/>
      <w:sz w:val="20"/>
      <w:szCs w:val="20"/>
      <w:lang w:eastAsia="el-GR"/>
    </w:rPr>
  </w:style>
  <w:style w:type="paragraph" w:styleId="a4">
    <w:name w:val="No Spacing"/>
    <w:basedOn w:val="a"/>
    <w:uiPriority w:val="1"/>
    <w:qFormat/>
    <w:rsid w:val="00442407"/>
    <w:rPr>
      <w:rFonts w:ascii="Calibri" w:hAnsi="Calibri" w:cs="Calibri"/>
      <w:sz w:val="22"/>
      <w:szCs w:val="22"/>
    </w:rPr>
  </w:style>
  <w:style w:type="paragraph" w:customStyle="1" w:styleId="astandard3520normal">
    <w:name w:val="a_standard__35__20_normal"/>
    <w:basedOn w:val="a"/>
    <w:uiPriority w:val="99"/>
    <w:semiHidden/>
    <w:rsid w:val="00442407"/>
    <w:pPr>
      <w:spacing w:after="120"/>
      <w:ind w:right="57"/>
      <w:jc w:val="both"/>
    </w:pPr>
  </w:style>
  <w:style w:type="paragraph" w:customStyle="1" w:styleId="astandard3320titre">
    <w:name w:val="a_standard__33__20_titre"/>
    <w:basedOn w:val="a"/>
    <w:uiPriority w:val="99"/>
    <w:semiHidden/>
    <w:rsid w:val="00442407"/>
    <w:pPr>
      <w:spacing w:before="240" w:after="60"/>
      <w:jc w:val="center"/>
    </w:pPr>
    <w:rPr>
      <w:rFonts w:ascii="Arial" w:hAnsi="Arial" w:cs="Arial"/>
      <w:b/>
      <w:bCs/>
      <w:sz w:val="32"/>
      <w:szCs w:val="32"/>
    </w:rPr>
  </w:style>
  <w:style w:type="paragraph" w:customStyle="1" w:styleId="el">
    <w:name w:val="el"/>
    <w:basedOn w:val="a"/>
    <w:uiPriority w:val="99"/>
    <w:semiHidden/>
    <w:rsid w:val="00442407"/>
    <w:pPr>
      <w:spacing w:before="100" w:beforeAutospacing="1" w:after="100" w:afterAutospacing="1"/>
    </w:pPr>
  </w:style>
  <w:style w:type="character" w:styleId="a5">
    <w:name w:val="footnote reference"/>
    <w:basedOn w:val="a0"/>
    <w:uiPriority w:val="99"/>
    <w:semiHidden/>
    <w:unhideWhenUsed/>
    <w:rsid w:val="00442407"/>
    <w:rPr>
      <w:vertAlign w:val="superscript"/>
    </w:rPr>
  </w:style>
  <w:style w:type="character" w:customStyle="1" w:styleId="at21">
    <w:name w:val="a__t21"/>
    <w:basedOn w:val="a0"/>
    <w:rsid w:val="00442407"/>
    <w:rPr>
      <w:b/>
      <w:bCs/>
    </w:rPr>
  </w:style>
  <w:style w:type="paragraph" w:styleId="a6">
    <w:name w:val="Balloon Text"/>
    <w:basedOn w:val="a"/>
    <w:link w:val="Char0"/>
    <w:uiPriority w:val="99"/>
    <w:semiHidden/>
    <w:unhideWhenUsed/>
    <w:rsid w:val="00505426"/>
    <w:rPr>
      <w:rFonts w:ascii="Tahoma" w:hAnsi="Tahoma" w:cs="Tahoma"/>
      <w:sz w:val="16"/>
      <w:szCs w:val="16"/>
    </w:rPr>
  </w:style>
  <w:style w:type="character" w:customStyle="1" w:styleId="Char0">
    <w:name w:val="Κείμενο πλαισίου Char"/>
    <w:basedOn w:val="a0"/>
    <w:link w:val="a6"/>
    <w:uiPriority w:val="99"/>
    <w:semiHidden/>
    <w:rsid w:val="00505426"/>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4081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9.png@01CF597B.08ACDE30" TargetMode="External"/><Relationship Id="rId13" Type="http://schemas.openxmlformats.org/officeDocument/2006/relationships/image" Target="media/image4.jpeg"/><Relationship Id="rId18" Type="http://schemas.openxmlformats.org/officeDocument/2006/relationships/hyperlink" Target="http://ec.europa.eu/commission_2010-2014/barnier/headlines/news/2014/03/20140327_en.htm" TargetMode="External"/><Relationship Id="rId3" Type="http://schemas.openxmlformats.org/officeDocument/2006/relationships/settings" Target="settings.xml"/><Relationship Id="rId21" Type="http://schemas.openxmlformats.org/officeDocument/2006/relationships/hyperlink" Target="http://europa.eu/rapid/press-release_IP-12-340_en.htm" TargetMode="External"/><Relationship Id="rId7" Type="http://schemas.openxmlformats.org/officeDocument/2006/relationships/image" Target="media/image1.png"/><Relationship Id="rId12" Type="http://schemas.openxmlformats.org/officeDocument/2006/relationships/hyperlink" Target="http://ec.europa.eu/commission_2010-2014/barnier/headlines/news/2014/01/20140129_en.htm" TargetMode="External"/><Relationship Id="rId17" Type="http://schemas.openxmlformats.org/officeDocument/2006/relationships/hyperlink" Target="http://europa.eu/rapid/press-release_MEMO-14-238_en.htm" TargetMode="External"/><Relationship Id="rId2" Type="http://schemas.openxmlformats.org/officeDocument/2006/relationships/styles" Target="styles.xml"/><Relationship Id="rId16" Type="http://schemas.openxmlformats.org/officeDocument/2006/relationships/hyperlink" Target="http://ec.europa.eu/clima/policies/2030/index_en.htm" TargetMode="External"/><Relationship Id="rId20" Type="http://schemas.openxmlformats.org/officeDocument/2006/relationships/image" Target="cid:image014.jpg@01CF597B.08ACDE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12.png@01CF597B.08ACDE3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europe2020/index_en.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13.jpg@01CF597B.08ACDE30" TargetMode="External"/><Relationship Id="rId22" Type="http://schemas.openxmlformats.org/officeDocument/2006/relationships/hyperlink" Target="http://europa.eu/rapid/press-release_IP-14-31_el.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1261</Words>
  <Characters>6813</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2014-04-17T05:46:00Z</dcterms:created>
  <dcterms:modified xsi:type="dcterms:W3CDTF">2014-04-17T05:49:00Z</dcterms:modified>
</cp:coreProperties>
</file>