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D0" w:rsidRPr="0098536F" w:rsidRDefault="00DD30D0" w:rsidP="00DD30D0">
      <w:pPr>
        <w:tabs>
          <w:tab w:val="left" w:pos="709"/>
        </w:tabs>
        <w:ind w:left="709" w:right="-11"/>
        <w:rPr>
          <w:rFonts w:ascii="Arial Narrow" w:hAnsi="Arial Narrow"/>
          <w:lang w:val="en-US"/>
        </w:rPr>
      </w:pPr>
    </w:p>
    <w:p w:rsidR="00DD30D0" w:rsidRPr="0098536F" w:rsidRDefault="00DD30D0" w:rsidP="00DD30D0">
      <w:pPr>
        <w:tabs>
          <w:tab w:val="left" w:pos="851"/>
        </w:tabs>
        <w:ind w:left="709" w:right="-11"/>
        <w:jc w:val="right"/>
        <w:rPr>
          <w:rFonts w:ascii="Arial Narrow" w:hAnsi="Arial Narrow" w:cs="Calibri"/>
          <w:spacing w:val="20"/>
        </w:rPr>
      </w:pPr>
      <w:bookmarkStart w:id="0" w:name="_GoBack"/>
      <w:bookmarkEnd w:id="0"/>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cs="Calibri"/>
          <w:spacing w:val="20"/>
        </w:rPr>
        <w:t xml:space="preserve">Αθήνα, </w:t>
      </w:r>
      <w:r>
        <w:rPr>
          <w:rFonts w:ascii="Arial Narrow" w:hAnsi="Arial Narrow" w:cs="Calibri"/>
          <w:spacing w:val="20"/>
        </w:rPr>
        <w:t>1</w:t>
      </w:r>
      <w:r w:rsidRPr="00DD30D0">
        <w:rPr>
          <w:rFonts w:ascii="Arial Narrow" w:hAnsi="Arial Narrow" w:cs="Calibri"/>
          <w:spacing w:val="20"/>
          <w:vertAlign w:val="superscript"/>
        </w:rPr>
        <w:t>Η</w:t>
      </w:r>
      <w:r>
        <w:rPr>
          <w:rFonts w:ascii="Arial Narrow" w:hAnsi="Arial Narrow" w:cs="Calibri"/>
          <w:spacing w:val="20"/>
        </w:rPr>
        <w:t xml:space="preserve"> Ιουνίου</w:t>
      </w:r>
      <w:r w:rsidRPr="0098536F">
        <w:rPr>
          <w:rFonts w:ascii="Arial Narrow" w:hAnsi="Arial Narrow" w:cs="Calibri"/>
          <w:spacing w:val="20"/>
        </w:rPr>
        <w:t xml:space="preserve"> 2021</w:t>
      </w:r>
    </w:p>
    <w:p w:rsidR="00DD30D0" w:rsidRPr="0098536F" w:rsidRDefault="00DD30D0" w:rsidP="00DD30D0">
      <w:pPr>
        <w:tabs>
          <w:tab w:val="left" w:pos="709"/>
        </w:tabs>
        <w:ind w:left="709" w:right="-11"/>
        <w:jc w:val="both"/>
        <w:rPr>
          <w:rFonts w:ascii="Arial Narrow" w:hAnsi="Arial Narrow"/>
        </w:rPr>
      </w:pPr>
    </w:p>
    <w:p w:rsidR="00DD30D0" w:rsidRPr="00407FBE" w:rsidRDefault="00DD30D0" w:rsidP="00DD30D0">
      <w:pPr>
        <w:tabs>
          <w:tab w:val="left" w:pos="851"/>
        </w:tabs>
        <w:spacing w:after="0" w:line="276" w:lineRule="auto"/>
        <w:ind w:left="709" w:right="827"/>
        <w:jc w:val="center"/>
        <w:rPr>
          <w:rFonts w:ascii="Arial Narrow" w:hAnsi="Arial Narrow" w:cs="Calibri"/>
          <w:b/>
          <w:color w:val="44546A"/>
          <w:spacing w:val="20"/>
        </w:rPr>
      </w:pPr>
      <w:r w:rsidRPr="00407FBE">
        <w:rPr>
          <w:rFonts w:ascii="Arial Narrow" w:hAnsi="Arial Narrow" w:cs="Calibri"/>
          <w:b/>
          <w:color w:val="44546A"/>
          <w:spacing w:val="20"/>
        </w:rPr>
        <w:t>ΔΕΛΤΙΟ ΤΥΠΟΥ</w:t>
      </w:r>
    </w:p>
    <w:p w:rsidR="00DD30D0" w:rsidRPr="00407FBE" w:rsidRDefault="00DD30D0" w:rsidP="00DD30D0">
      <w:pPr>
        <w:tabs>
          <w:tab w:val="left" w:pos="851"/>
        </w:tabs>
        <w:spacing w:after="0" w:line="276" w:lineRule="auto"/>
        <w:ind w:left="709" w:right="827"/>
        <w:jc w:val="both"/>
        <w:rPr>
          <w:rFonts w:ascii="Arial Narrow" w:hAnsi="Arial Narrow"/>
          <w:b/>
          <w:color w:val="44546A"/>
          <w:spacing w:val="20"/>
        </w:rPr>
      </w:pPr>
    </w:p>
    <w:p w:rsidR="00DD30D0" w:rsidRPr="00407FBE" w:rsidRDefault="00DD30D0" w:rsidP="00DD30D0">
      <w:pPr>
        <w:spacing w:after="0" w:line="276" w:lineRule="auto"/>
        <w:ind w:left="142" w:right="118"/>
        <w:jc w:val="both"/>
        <w:rPr>
          <w:rFonts w:ascii="Arial Narrow" w:hAnsi="Arial Narrow" w:cs="Calibri"/>
          <w:b/>
          <w:color w:val="44546A"/>
          <w:spacing w:val="20"/>
        </w:rPr>
      </w:pPr>
    </w:p>
    <w:p w:rsidR="00DD30D0" w:rsidRPr="00DD30D0" w:rsidRDefault="00DD30D0" w:rsidP="00DD30D0">
      <w:pPr>
        <w:jc w:val="center"/>
        <w:rPr>
          <w:rFonts w:ascii="Arial Narrow" w:hAnsi="Arial Narrow"/>
          <w:b/>
          <w:bCs/>
          <w:color w:val="44546A" w:themeColor="text2"/>
          <w:sz w:val="24"/>
          <w:szCs w:val="24"/>
        </w:rPr>
      </w:pPr>
      <w:r w:rsidRPr="00407FBE">
        <w:rPr>
          <w:rFonts w:ascii="Arial Narrow" w:hAnsi="Arial Narrow" w:cs="Calibri"/>
          <w:b/>
          <w:color w:val="44546A"/>
          <w:spacing w:val="20"/>
        </w:rPr>
        <w:t>Θέμα:</w:t>
      </w:r>
      <w:r w:rsidRPr="00407FBE">
        <w:rPr>
          <w:rFonts w:ascii="Arial Narrow" w:hAnsi="Arial Narrow"/>
          <w:b/>
          <w:bCs/>
          <w:color w:val="44546A"/>
        </w:rPr>
        <w:t xml:space="preserve"> </w:t>
      </w:r>
      <w:r w:rsidRPr="00DD30D0">
        <w:rPr>
          <w:rFonts w:ascii="Arial Narrow" w:hAnsi="Arial Narrow"/>
          <w:b/>
          <w:bCs/>
          <w:color w:val="44546A" w:themeColor="text2"/>
          <w:sz w:val="24"/>
          <w:szCs w:val="24"/>
        </w:rPr>
        <w:t>Σε ισχύ ο νέος Πτωχευτικός νόμος – Οι παγίδες και κίνδυνοι για τις επιχειρήσεις</w:t>
      </w:r>
    </w:p>
    <w:p w:rsidR="00DD30D0" w:rsidRPr="00B21AF8" w:rsidRDefault="00DD30D0" w:rsidP="00DD30D0">
      <w:pPr>
        <w:jc w:val="both"/>
        <w:rPr>
          <w:rFonts w:ascii="Arial Narrow" w:hAnsi="Arial Narrow"/>
          <w:sz w:val="24"/>
          <w:szCs w:val="24"/>
        </w:rPr>
      </w:pPr>
      <w:r w:rsidRPr="00B21AF8">
        <w:rPr>
          <w:rFonts w:ascii="Arial Narrow" w:hAnsi="Arial Narrow"/>
          <w:sz w:val="24"/>
          <w:szCs w:val="24"/>
        </w:rPr>
        <w:t>Από σήμερα  Τρίτη 1η Ιουνίου 2021 ξεκίνησε  –μετά από πεντάμηνη παράταση- η πλήρης εφαρμογή του ν.4738/27.10.2020 «Ρύθμιση οφειλών και παροχή δεύτερης ευκαιρίας», του αποκαλούμενου και «Πτωχευτικού Νόμου». Ιδιαίτερη σημασία   έχουν οι ρυθμίσεις του για τις «Πτωχεύσεις Μικρού Αντικειμένου» (Π.Μ.Α.) αφού, βάσει των κριτηρίων  που θέτει ο νόμος , σε αυτές υπάγεται δυνητικά η συντριπτική πλειοψηφία των ατομικών και εταιρικών επιχειρήσεων της χώρας.</w:t>
      </w:r>
    </w:p>
    <w:p w:rsidR="00DD30D0" w:rsidRPr="00B21AF8" w:rsidRDefault="00DD30D0" w:rsidP="00DD30D0">
      <w:pPr>
        <w:jc w:val="both"/>
        <w:rPr>
          <w:rFonts w:ascii="Arial Narrow" w:hAnsi="Arial Narrow"/>
          <w:sz w:val="24"/>
          <w:szCs w:val="24"/>
        </w:rPr>
      </w:pPr>
      <w:r w:rsidRPr="00B21AF8">
        <w:rPr>
          <w:rFonts w:ascii="Arial Narrow" w:hAnsi="Arial Narrow"/>
          <w:sz w:val="24"/>
          <w:szCs w:val="24"/>
        </w:rPr>
        <w:t xml:space="preserve"> «Η εφαρμογή του πτωχευτικού νόμου ισοδυναμεί με το τέλος της προστασίας της πρώτης κατοικίας και θα οδηγήσει χιλιάδες νοικοκυριά, μικρομεσαίους επιχειρηματίες και ελεύθερους επαγγελματίες να χάσουν τις περιουσίες τους. Η δυνατότητα που δίνεται στους πιστωτές να προβούν σε μονομερή ενεργοποίηση της διαδικασίας πτώχευσης και η αντιμετώπιση, για πρώτη φορά στην ιστορία του ελληνικού κράτους, των φυσικών προσώπων ως επιχειρήσεων ευνοεί με προκλητικό τρόπο τις τράπεζες. </w:t>
      </w:r>
    </w:p>
    <w:p w:rsidR="00DD30D0" w:rsidRPr="00B21AF8" w:rsidRDefault="00DD30D0" w:rsidP="00DD30D0">
      <w:pPr>
        <w:jc w:val="both"/>
        <w:rPr>
          <w:rFonts w:ascii="Arial Narrow" w:hAnsi="Arial Narrow"/>
          <w:sz w:val="24"/>
          <w:szCs w:val="24"/>
        </w:rPr>
      </w:pPr>
      <w:r w:rsidRPr="00B21AF8">
        <w:rPr>
          <w:rFonts w:ascii="Arial Narrow" w:hAnsi="Arial Narrow"/>
          <w:sz w:val="24"/>
          <w:szCs w:val="24"/>
        </w:rPr>
        <w:t xml:space="preserve">Η εισαγωγή του </w:t>
      </w:r>
      <w:proofErr w:type="spellStart"/>
      <w:r w:rsidRPr="00B21AF8">
        <w:rPr>
          <w:rFonts w:ascii="Arial Narrow" w:hAnsi="Arial Narrow"/>
          <w:sz w:val="24"/>
          <w:szCs w:val="24"/>
        </w:rPr>
        <w:t>μεταπτωχευτικού</w:t>
      </w:r>
      <w:proofErr w:type="spellEnd"/>
      <w:r w:rsidRPr="00B21AF8">
        <w:rPr>
          <w:rFonts w:ascii="Arial Narrow" w:hAnsi="Arial Narrow"/>
          <w:sz w:val="24"/>
          <w:szCs w:val="24"/>
        </w:rPr>
        <w:t xml:space="preserve"> εισοδήματος στην πτωχευτική περιουσία θα οδηγήσει στην εξαθλίωση όσους εισέλθουν στην πτωχευτική διαδικασία. Οι μικρές επιχειρήσεις, που αποτελούν το 81% των μικρομεσαίων εξαιρούνται της ασφάλειας δικαίου, καθώς οι υποθέσεις τους θα εκδικάζονται στα Ειρηνοδικεία, χωρίς δυνατότητα φυσικής παρουσίας. Τέλος, η περίφημη δεύτερη ευκαιρία δεν είναι παρά το τυράκι στη φάκα, μιας και παρέχεται υπό εντελώς ασύμφορους και δρακόντειους όρους»,  επισημαίνει  η Γενική Συνομοσπονδία Επαγγελματιών Βιοτεχνών και Εμπόρων Ελλάδας (ΓΣΕΒΕΕ).</w:t>
      </w:r>
    </w:p>
    <w:p w:rsidR="00DD30D0" w:rsidRPr="00B21AF8" w:rsidRDefault="00DD30D0" w:rsidP="00DD30D0">
      <w:pPr>
        <w:jc w:val="both"/>
        <w:rPr>
          <w:rFonts w:ascii="Arial Narrow" w:hAnsi="Arial Narrow"/>
          <w:sz w:val="24"/>
          <w:szCs w:val="24"/>
        </w:rPr>
      </w:pPr>
      <w:r w:rsidRPr="00B21AF8">
        <w:rPr>
          <w:rFonts w:ascii="Arial Narrow" w:hAnsi="Arial Narrow"/>
          <w:sz w:val="24"/>
          <w:szCs w:val="24"/>
        </w:rPr>
        <w:t xml:space="preserve">Στο πλαίσιο αυτό και με  στόχο την  πληροφόρηση των  επιχειρήσεων  η ΓΣΕΒΕΕ παρουσιάζει δέκα ερωτήσεις -απαντήσεις  για το νέο θεσμικό πλαίσιο και τους κινδύνους που αυτό εγκυμονεί για τους οφειλέτες  και συνεχίζει την άσκηση πιεστικού ενδιαφέροντος προς το Υπουργείο Οικονομικών για την ερμηνεία κρίσιμων κενών προς όφελος των ατομικών, πολύ μικρών, μικρών και μεσαίων επιχειρήσεων. </w:t>
      </w:r>
    </w:p>
    <w:p w:rsidR="00DD30D0" w:rsidRPr="00B21AF8" w:rsidRDefault="00DD30D0" w:rsidP="00DD30D0">
      <w:pPr>
        <w:jc w:val="both"/>
        <w:rPr>
          <w:rFonts w:ascii="Arial Narrow" w:hAnsi="Arial Narrow"/>
          <w:sz w:val="24"/>
          <w:szCs w:val="24"/>
        </w:rPr>
      </w:pPr>
      <w:r w:rsidRPr="00B21AF8">
        <w:rPr>
          <w:rFonts w:ascii="Arial Narrow" w:hAnsi="Arial Narrow"/>
          <w:sz w:val="24"/>
          <w:szCs w:val="24"/>
        </w:rPr>
        <w:t xml:space="preserve">  </w:t>
      </w:r>
      <w:r w:rsidRPr="00B21AF8">
        <w:rPr>
          <w:rFonts w:ascii="Arial Narrow" w:hAnsi="Arial Narrow"/>
          <w:b/>
          <w:bCs/>
          <w:sz w:val="24"/>
          <w:szCs w:val="24"/>
          <w:u w:val="single"/>
        </w:rPr>
        <w:t xml:space="preserve">Τι προβλέπει το νέο πλαίσιο  του πτωχευτικού σε δέκα ερωτήσεις - απαντήσεις </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1.</w:t>
      </w:r>
      <w:r w:rsidRPr="00B21AF8">
        <w:rPr>
          <w:rFonts w:ascii="Arial Narrow" w:hAnsi="Arial Narrow"/>
          <w:b/>
          <w:bCs/>
          <w:sz w:val="24"/>
          <w:szCs w:val="24"/>
        </w:rPr>
        <w:tab/>
        <w:t xml:space="preserve"> Ποιοι πτωχεύουν </w:t>
      </w:r>
      <w:r w:rsidRPr="00B21AF8">
        <w:rPr>
          <w:rFonts w:ascii="Arial Narrow" w:hAnsi="Arial Narrow"/>
          <w:sz w:val="24"/>
          <w:szCs w:val="24"/>
        </w:rPr>
        <w:t xml:space="preserve">:  Όλα τα φυσικά πρόσωπα, ασχέτως εμπορικής ιδιότητας, και όλα τα νομικά πρόσωπα, τα οποία έχουν εμπορικό ή απλά οικονομικό σκοπό ή απλά οιαδήποτε οικονομική δραστηριότητα. Δηλαδή, πτωχεύουν ατομικές και κάθε μορφής εταιρικές επιχειρήσεις, σύλλογοι, σωματεία, νοικοκυριά, εργαζόμενοι, άνεργοι, συνταξιούχοι κ.λπ. (αρ.76)  </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2.</w:t>
      </w:r>
      <w:r w:rsidRPr="00B21AF8">
        <w:rPr>
          <w:rFonts w:ascii="Arial Narrow" w:hAnsi="Arial Narrow"/>
          <w:b/>
          <w:bCs/>
          <w:sz w:val="24"/>
          <w:szCs w:val="24"/>
        </w:rPr>
        <w:tab/>
        <w:t>Πότε  πτωχεύουν:</w:t>
      </w:r>
      <w:r w:rsidRPr="00B21AF8">
        <w:rPr>
          <w:rFonts w:ascii="Arial Narrow" w:hAnsi="Arial Narrow"/>
          <w:sz w:val="24"/>
          <w:szCs w:val="24"/>
        </w:rPr>
        <w:t xml:space="preserve">  Όταν δεν καταβάλουν ληξιπρόθεσμες υποχρεώσεις  άνω των 30.000 ευρώ προς Δημόσιο, Φορείς Κοινωνικής Ασφάλισης (Φ.Κ.Α.) ή Τράπεζες για έξι (6) μήνες και το ποσό αυτό αποτελεί το 40% των συνολικών ληξιπρόθεσμων οφειλών. Δηλαδή, πρακτικά, όποιος έχει συνολικές ληξιπρόθεσμες υποχρεώσεις τουλάχιστον 75.000 ευρώ και δεν εξυπηρετεί το 40% αυτών (30.000) π.χ. από την 1 Δεκεμβρίου 2020 έως την 1 Ιουνίου 2021, δηλαδή για 6 μήνες, κινδυνεύει με πτώχευση. Μάλιστα, η «επιλεκτική» πληρωμή υποχρεώσεων δεν αποτρέπει την πτώχευση (αρ.77 παρ.2).  </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lastRenderedPageBreak/>
        <w:t xml:space="preserve">3. Πως πτωχεύουν </w:t>
      </w:r>
      <w:r w:rsidRPr="00B21AF8">
        <w:rPr>
          <w:rFonts w:ascii="Arial Narrow" w:hAnsi="Arial Narrow"/>
          <w:sz w:val="24"/>
          <w:szCs w:val="24"/>
        </w:rPr>
        <w:t xml:space="preserve">;  Με αίτηση πτώχευσης–δικόγραφο στο Πολυμελές (τριμελές) Πρωτοδικείο της έδρας ή της κύριας κατοικίας του οφειλέτη–υποψήφιου πτωχού, το οποίο καταθέτουν είτε πιστωτής είτε και ο ίδιος ο οφειλέτης και η οποία επιδίδεται στον οφειλέτη–υποψήφιο πτωχό μόλις 15 ημέρες πριν τη δικάσιμο (αρ.78). Μάλιστα, προβλέπεται και υποχρέωση του οφειλέτη σε </w:t>
      </w:r>
      <w:proofErr w:type="spellStart"/>
      <w:r w:rsidRPr="00B21AF8">
        <w:rPr>
          <w:rFonts w:ascii="Arial Narrow" w:hAnsi="Arial Narrow"/>
          <w:sz w:val="24"/>
          <w:szCs w:val="24"/>
        </w:rPr>
        <w:t>αυτοπτώχευση</w:t>
      </w:r>
      <w:proofErr w:type="spellEnd"/>
      <w:r w:rsidRPr="00B21AF8">
        <w:rPr>
          <w:rFonts w:ascii="Arial Narrow" w:hAnsi="Arial Narrow"/>
          <w:sz w:val="24"/>
          <w:szCs w:val="24"/>
        </w:rPr>
        <w:t xml:space="preserve">, όταν δεν μπορεί να εξυπηρετεί τις υποχρεώσεις του (αρ.79 παρ.5). Η αίτηση εκδικάζεται με το γνωστό σε όλους συνδυασμό προφορικής και γραπτής διαδικασίας, ενώ εκδίδεται απόφαση που δέχεται ή απορρίπτει την αίτηση πτώχευσης.      </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4.</w:t>
      </w:r>
      <w:r w:rsidRPr="00B21AF8">
        <w:rPr>
          <w:rFonts w:ascii="Arial Narrow" w:hAnsi="Arial Narrow"/>
          <w:b/>
          <w:bCs/>
          <w:sz w:val="24"/>
          <w:szCs w:val="24"/>
        </w:rPr>
        <w:tab/>
        <w:t xml:space="preserve"> Κινδυνεύει άμεσα η πρώτη κατοικία οφειλετών  ;</w:t>
      </w:r>
      <w:r w:rsidRPr="00B21AF8">
        <w:rPr>
          <w:rFonts w:ascii="Arial Narrow" w:hAnsi="Arial Narrow"/>
          <w:sz w:val="24"/>
          <w:szCs w:val="24"/>
        </w:rPr>
        <w:t xml:space="preserve">   Ναι, διότι αμέσως μετά την κατάθεση της αίτησης πτώχευσης και έως τη δίκη ο πιστωτής μπορεί με ασφαλιστικά μέτρα να ζητήσει το «πάγωμα» της περιουσίας του οφειλέτη και αν το αίτημα του γίνει δεκτό αίρεται κάθε προστασία της πρώτης κατοικίας (αρ.86 παρ.4).</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5.</w:t>
      </w:r>
      <w:r w:rsidRPr="00B21AF8">
        <w:rPr>
          <w:rFonts w:ascii="Arial Narrow" w:hAnsi="Arial Narrow"/>
          <w:b/>
          <w:bCs/>
          <w:sz w:val="24"/>
          <w:szCs w:val="24"/>
        </w:rPr>
        <w:tab/>
        <w:t xml:space="preserve">Ποιες θεωρούνται « Πτωχεύσεις Μικρού Αντικειμένου (Π.Μ.Α) ;  </w:t>
      </w:r>
      <w:r w:rsidRPr="00B21AF8">
        <w:rPr>
          <w:rFonts w:ascii="Arial Narrow" w:hAnsi="Arial Narrow"/>
          <w:sz w:val="24"/>
          <w:szCs w:val="24"/>
        </w:rPr>
        <w:t>Θεωρούνται</w:t>
      </w:r>
      <w:r w:rsidRPr="00B21AF8">
        <w:rPr>
          <w:rFonts w:ascii="Arial Narrow" w:hAnsi="Arial Narrow"/>
          <w:b/>
          <w:bCs/>
          <w:sz w:val="24"/>
          <w:szCs w:val="24"/>
        </w:rPr>
        <w:t xml:space="preserve"> </w:t>
      </w:r>
      <w:r w:rsidRPr="00B21AF8">
        <w:rPr>
          <w:rFonts w:ascii="Arial Narrow" w:hAnsi="Arial Narrow"/>
          <w:sz w:val="24"/>
          <w:szCs w:val="24"/>
        </w:rPr>
        <w:t xml:space="preserve">αυτές στις οποίες ο οφειλέτης-επιχειρηματίας έχει είτε ενεργητικό 350.000 ευρώ είτε ετήσιο κύκλο εργασιών 700.000 ευρώ είτε έως 10 εργαζόμενους. Αν λοιπόν </w:t>
      </w:r>
      <w:proofErr w:type="spellStart"/>
      <w:r w:rsidRPr="00B21AF8">
        <w:rPr>
          <w:rFonts w:ascii="Arial Narrow" w:hAnsi="Arial Narrow"/>
          <w:sz w:val="24"/>
          <w:szCs w:val="24"/>
        </w:rPr>
        <w:t>πληρούται</w:t>
      </w:r>
      <w:proofErr w:type="spellEnd"/>
      <w:r w:rsidRPr="00B21AF8">
        <w:rPr>
          <w:rFonts w:ascii="Arial Narrow" w:hAnsi="Arial Narrow"/>
          <w:sz w:val="24"/>
          <w:szCs w:val="24"/>
        </w:rPr>
        <w:t xml:space="preserve"> ένα οποιοδήποτε από αυτά τα τρία κριτήρια ακολουθείται άλλη «απλοποιημένη» διαδικασία πτώχευσης. Το ίδιο και αν πρόκειται για φυσικό πρόσωπο-μη επιχειρηματία, εφόσον έχει περιουσία έως 350.000 ευρώ. (αρ.78 παρ.2)</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6. Ποιο  δικαστήριο είναι αρμόδιο;</w:t>
      </w:r>
      <w:r w:rsidRPr="00B21AF8">
        <w:rPr>
          <w:rFonts w:ascii="Arial Narrow" w:hAnsi="Arial Narrow"/>
          <w:sz w:val="24"/>
          <w:szCs w:val="24"/>
        </w:rPr>
        <w:t xml:space="preserve">   Το Ειρηνοδικείο της έδρας ή κύριας κατοικίας του οφειλέτη–επιχειρηματία-υποψήφιου πτωχού (αρ.172 παρ.2) και όχι το Πολυμελές Πρωτοδικείο, όπως στις άλλες.</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7. Πως πραγματοποιούνται οι « Πτωχεύσεις Μικρού Αντικειμένου»</w:t>
      </w:r>
      <w:r w:rsidRPr="00B21AF8">
        <w:rPr>
          <w:rFonts w:ascii="Arial Narrow" w:hAnsi="Arial Narrow"/>
          <w:sz w:val="24"/>
          <w:szCs w:val="24"/>
        </w:rPr>
        <w:t>; Η αίτηση πτώχευσης δεν επιδίδεται 15 ημέρες πριν τη δικάσιμο, όπως στις άλλες, αλλά κατατίθεται ηλεκτρονικά στο Ηλεκτρονικό Μητρώο Φερεγγυότητας, στο οποίο και δημοσιεύεται για 30 ημέρες. Αν στο διάστημα αυτό δεν υπάρξει παρέμβαση εναντίον της, η αίτηση πτώχευσης γίνεται αυτομάτως δεκτή από το Ειρηνοδικείο, χωρίς καμία ακροαματική διαδικασία. Αίτηση πτώχευσης του (</w:t>
      </w:r>
      <w:proofErr w:type="spellStart"/>
      <w:r w:rsidRPr="00B21AF8">
        <w:rPr>
          <w:rFonts w:ascii="Arial Narrow" w:hAnsi="Arial Narrow"/>
          <w:sz w:val="24"/>
          <w:szCs w:val="24"/>
        </w:rPr>
        <w:t>αυτοπτώχευση</w:t>
      </w:r>
      <w:proofErr w:type="spellEnd"/>
      <w:r w:rsidRPr="00B21AF8">
        <w:rPr>
          <w:rFonts w:ascii="Arial Narrow" w:hAnsi="Arial Narrow"/>
          <w:sz w:val="24"/>
          <w:szCs w:val="24"/>
        </w:rPr>
        <w:t xml:space="preserve">) μπορεί να υποβάλει και ο ίδιος ο οφειλέτης-επιχειρηματίας (αρ.173) </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8. Πότε πτωχεύουν ;</w:t>
      </w:r>
      <w:r w:rsidRPr="00B21AF8">
        <w:rPr>
          <w:rFonts w:ascii="Arial Narrow" w:hAnsi="Arial Narrow"/>
          <w:sz w:val="24"/>
          <w:szCs w:val="24"/>
        </w:rPr>
        <w:t xml:space="preserve"> Όταν δεν καταβάλουν ληξιπρόθεσμες υποχρεώσεις πάνω από 30.000 ευρώ προς Δημόσιο, Φορείς Κοινωνικής Ασφάλισης (Φ.Κ.Α.) ή Τράπεζες για έξι (6) μήνες και το ποσό αυτό αποτελεί το 60% των συνολικών ληξιπρόθεσμων οφειλών. Δηλαδή, πρακτικά, όποιος έχει συνολικές ληξιπρόθεσμες υποχρεώσεις τουλάχιστον 50.000 ευρώ και δεν εξυπηρετεί το 60% αυτών (30.000) π.χ. από την 1 Δεκεμβρίου 2020 έως την 1 Ιουνίου 2021, δηλαδή για 6 μήνες, κινδυνεύει με «απλοποιημένη» πτώχευση. Μάλιστα, η «επιλεκτική» πληρωμή υποχρεώσεων δεν αποτρέπει την πτώχευση (αρ.176 παρ.2).</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9. Πως λαμβάνει μέρος ο οφειλέτης στη διαδικασία πτώχευσης;</w:t>
      </w:r>
      <w:r w:rsidRPr="00B21AF8">
        <w:rPr>
          <w:rFonts w:ascii="Arial Narrow" w:hAnsi="Arial Narrow"/>
          <w:sz w:val="24"/>
          <w:szCs w:val="24"/>
        </w:rPr>
        <w:t xml:space="preserve"> Αν υπάρξει επίσης ηλεκτρονικά κύρια παρέμβαση εντός 30 ημερών από τη δημοσιοποίηση της αίτησης στο Ηλεκτρονικό Μητρώο Φερεγγυότητας. Στην περίπτωση αυτή, επιδίδεται η αίτηση εντός 10ημέρου και εντός 60 ημερών ο οφειλέτης καταθέτει στο Ειρηνοδικείο τους ισχυρισμούς και τα αποδεικτικά μέσα (έγγραφα, ένορκες βεβαιώσεις </w:t>
      </w:r>
      <w:proofErr w:type="spellStart"/>
      <w:r w:rsidRPr="00B21AF8">
        <w:rPr>
          <w:rFonts w:ascii="Arial Narrow" w:hAnsi="Arial Narrow"/>
          <w:sz w:val="24"/>
          <w:szCs w:val="24"/>
        </w:rPr>
        <w:t>κλπ</w:t>
      </w:r>
      <w:proofErr w:type="spellEnd"/>
      <w:r w:rsidRPr="00B21AF8">
        <w:rPr>
          <w:rFonts w:ascii="Arial Narrow" w:hAnsi="Arial Narrow"/>
          <w:sz w:val="24"/>
          <w:szCs w:val="24"/>
        </w:rPr>
        <w:t>), αναμένων την έκδοση απόφασης κήρυξης πτώχευσης ή μη εντός διμήνου  (αρ.177 και 213).</w:t>
      </w:r>
    </w:p>
    <w:p w:rsidR="00DD30D0" w:rsidRPr="00B21AF8" w:rsidRDefault="00DD30D0" w:rsidP="00DD30D0">
      <w:pPr>
        <w:jc w:val="both"/>
        <w:rPr>
          <w:rFonts w:ascii="Arial Narrow" w:hAnsi="Arial Narrow"/>
          <w:sz w:val="24"/>
          <w:szCs w:val="24"/>
        </w:rPr>
      </w:pPr>
      <w:r w:rsidRPr="00B21AF8">
        <w:rPr>
          <w:rFonts w:ascii="Arial Narrow" w:hAnsi="Arial Narrow"/>
          <w:b/>
          <w:bCs/>
          <w:sz w:val="24"/>
          <w:szCs w:val="24"/>
        </w:rPr>
        <w:t>10. Επιτρέπεται έφεση κατά της απόφασης ;</w:t>
      </w:r>
      <w:r w:rsidRPr="00B21AF8">
        <w:rPr>
          <w:rFonts w:ascii="Arial Narrow" w:hAnsi="Arial Narrow"/>
          <w:sz w:val="24"/>
          <w:szCs w:val="24"/>
        </w:rPr>
        <w:t xml:space="preserve"> Ναι, μόνο έφεση, στο οικείο Πρωτοδικείο.   </w:t>
      </w:r>
    </w:p>
    <w:p w:rsidR="00DD30D0" w:rsidRPr="00B21AF8" w:rsidRDefault="00DD30D0" w:rsidP="00DD30D0">
      <w:pPr>
        <w:jc w:val="both"/>
        <w:rPr>
          <w:rFonts w:ascii="Arial Narrow" w:hAnsi="Arial Narrow"/>
          <w:sz w:val="24"/>
          <w:szCs w:val="24"/>
        </w:rPr>
      </w:pPr>
      <w:r w:rsidRPr="00B21AF8">
        <w:rPr>
          <w:rFonts w:ascii="Arial Narrow" w:hAnsi="Arial Narrow"/>
          <w:sz w:val="24"/>
          <w:szCs w:val="24"/>
        </w:rPr>
        <w:t xml:space="preserve">                           </w:t>
      </w:r>
    </w:p>
    <w:p w:rsidR="00DD30D0" w:rsidRPr="00B21AF8" w:rsidRDefault="00DD30D0" w:rsidP="00DD30D0">
      <w:pPr>
        <w:jc w:val="both"/>
        <w:rPr>
          <w:rFonts w:ascii="Arial Narrow" w:hAnsi="Arial Narrow"/>
          <w:sz w:val="24"/>
          <w:szCs w:val="24"/>
        </w:rPr>
      </w:pPr>
    </w:p>
    <w:p w:rsidR="00DD30D0" w:rsidRPr="00B21AF8" w:rsidRDefault="00DD30D0" w:rsidP="00DD30D0">
      <w:pPr>
        <w:jc w:val="both"/>
        <w:rPr>
          <w:rFonts w:ascii="Arial Narrow" w:hAnsi="Arial Narrow"/>
          <w:sz w:val="24"/>
          <w:szCs w:val="24"/>
        </w:rPr>
      </w:pPr>
    </w:p>
    <w:p w:rsidR="00DD30D0" w:rsidRPr="0098536F" w:rsidRDefault="00DD30D0" w:rsidP="00DD30D0">
      <w:pPr>
        <w:tabs>
          <w:tab w:val="left" w:pos="851"/>
        </w:tabs>
        <w:ind w:left="567" w:right="-12"/>
        <w:jc w:val="both"/>
        <w:rPr>
          <w:rFonts w:ascii="Arial Narrow" w:hAnsi="Arial Narrow"/>
        </w:rPr>
      </w:pPr>
    </w:p>
    <w:p w:rsidR="00EE63D3" w:rsidRDefault="00EE63D3"/>
    <w:sectPr w:rsidR="00EE63D3" w:rsidSect="000F1706">
      <w:headerReference w:type="default" r:id="rId4"/>
      <w:footerReference w:type="default" r:id="rId5"/>
      <w:headerReference w:type="first" r:id="rId6"/>
      <w:footerReference w:type="first" r:id="rId7"/>
      <w:pgSz w:w="11906" w:h="16838"/>
      <w:pgMar w:top="720" w:right="991"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Pr="00905894" w:rsidRDefault="00DD30D0">
    <w:pPr>
      <w:pStyle w:val="a4"/>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Pr>
        <w:noProof/>
        <w:color w:val="002F6C"/>
        <w:sz w:val="16"/>
        <w:szCs w:val="16"/>
      </w:rPr>
      <w:t>2</w:t>
    </w:r>
    <w:r w:rsidRPr="00905894">
      <w:rPr>
        <w:color w:val="002F6C"/>
        <w:sz w:val="16"/>
        <w:szCs w:val="16"/>
      </w:rPr>
      <w:fldChar w:fldCharType="end"/>
    </w:r>
  </w:p>
  <w:p w:rsidR="0064692E" w:rsidRPr="0064692E" w:rsidRDefault="00DD30D0" w:rsidP="0064692E">
    <w:pPr>
      <w:pStyle w:val="a4"/>
    </w:pPr>
    <w:r w:rsidRPr="00905894">
      <w:rPr>
        <w:noProof/>
        <w:color w:val="002F6C"/>
        <w:sz w:val="16"/>
        <w:szCs w:val="16"/>
        <w:lang w:eastAsia="el-GR"/>
      </w:rPr>
      <w:drawing>
        <wp:anchor distT="0" distB="0" distL="114300" distR="114300" simplePos="0" relativeHeight="251662336" behindDoc="0" locked="0" layoutInCell="1" allowOverlap="1">
          <wp:simplePos x="0" y="0"/>
          <wp:positionH relativeFrom="column">
            <wp:posOffset>-133350</wp:posOffset>
          </wp:positionH>
          <wp:positionV relativeFrom="paragraph">
            <wp:posOffset>112395</wp:posOffset>
          </wp:positionV>
          <wp:extent cx="6417945" cy="276225"/>
          <wp:effectExtent l="0" t="0" r="1905" b="9525"/>
          <wp:wrapNone/>
          <wp:docPr id="4" name="Εικόνα 4"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Default="00DD30D0" w:rsidP="00905894">
    <w:pPr>
      <w:pStyle w:val="a4"/>
      <w:rPr>
        <w:color w:val="002060"/>
        <w:sz w:val="16"/>
        <w:szCs w:val="16"/>
      </w:rPr>
    </w:pPr>
  </w:p>
  <w:p w:rsidR="00905894" w:rsidRPr="00905894" w:rsidRDefault="00DD30D0" w:rsidP="00905894">
    <w:pPr>
      <w:pStyle w:val="a4"/>
      <w:jc w:val="right"/>
      <w:rPr>
        <w:color w:val="002060"/>
        <w:sz w:val="16"/>
        <w:szCs w:val="16"/>
      </w:rPr>
    </w:pPr>
    <w:r>
      <w:rPr>
        <w:noProof/>
        <w:lang w:eastAsia="el-GR"/>
      </w:rPr>
      <w:drawing>
        <wp:anchor distT="0" distB="0" distL="114300" distR="114300" simplePos="0" relativeHeight="251661312" behindDoc="0" locked="0" layoutInCell="1" allowOverlap="1">
          <wp:simplePos x="0" y="0"/>
          <wp:positionH relativeFrom="column">
            <wp:posOffset>0</wp:posOffset>
          </wp:positionH>
          <wp:positionV relativeFrom="paragraph">
            <wp:posOffset>76200</wp:posOffset>
          </wp:positionV>
          <wp:extent cx="6417945" cy="276225"/>
          <wp:effectExtent l="0" t="0" r="1905" b="9525"/>
          <wp:wrapNone/>
          <wp:docPr id="2" name="Εικόνα 2"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894">
      <w:rPr>
        <w:color w:val="002060"/>
        <w:sz w:val="16"/>
        <w:szCs w:val="16"/>
      </w:rPr>
      <w:fldChar w:fldCharType="begin"/>
    </w:r>
    <w:r w:rsidRPr="00905894">
      <w:rPr>
        <w:color w:val="002060"/>
        <w:sz w:val="16"/>
        <w:szCs w:val="16"/>
      </w:rPr>
      <w:instrText>PAGE   \* MERGEFORMAT</w:instrText>
    </w:r>
    <w:r w:rsidRPr="00905894">
      <w:rPr>
        <w:color w:val="002060"/>
        <w:sz w:val="16"/>
        <w:szCs w:val="16"/>
      </w:rPr>
      <w:fldChar w:fldCharType="separate"/>
    </w:r>
    <w:r>
      <w:rPr>
        <w:noProof/>
        <w:color w:val="002060"/>
        <w:sz w:val="16"/>
        <w:szCs w:val="16"/>
      </w:rPr>
      <w:t>1</w:t>
    </w:r>
    <w:r w:rsidRPr="00905894">
      <w:rPr>
        <w:color w:val="002060"/>
        <w:sz w:val="16"/>
        <w:szCs w:val="1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DD30D0">
    <w:pPr>
      <w:pStyle w:val="a3"/>
    </w:pPr>
    <w:r>
      <w:rPr>
        <w:noProof/>
        <w:lang w:eastAsia="el-GR"/>
      </w:rPr>
      <w:drawing>
        <wp:anchor distT="0" distB="0" distL="114300" distR="114300" simplePos="0" relativeHeight="251659264" behindDoc="1" locked="0" layoutInCell="1" allowOverlap="1">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DD30D0">
    <w:pPr>
      <w:pStyle w:val="a3"/>
      <w:rPr>
        <w:noProof/>
      </w:rPr>
    </w:pPr>
    <w:r>
      <w:rPr>
        <w:noProof/>
        <w:lang w:eastAsia="el-GR"/>
      </w:rPr>
      <w:drawing>
        <wp:anchor distT="0" distB="0" distL="114300" distR="114300" simplePos="0" relativeHeight="251660288" behindDoc="0" locked="0" layoutInCell="1" allowOverlap="1">
          <wp:simplePos x="0" y="0"/>
          <wp:positionH relativeFrom="column">
            <wp:posOffset>5753100</wp:posOffset>
          </wp:positionH>
          <wp:positionV relativeFrom="paragraph">
            <wp:posOffset>-154305</wp:posOffset>
          </wp:positionV>
          <wp:extent cx="805815" cy="529590"/>
          <wp:effectExtent l="57150" t="95250" r="51435" b="9906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eastAsia="el-GR"/>
      </w:rPr>
      <w:drawing>
        <wp:inline distT="0" distB="0" distL="0" distR="0">
          <wp:extent cx="2495550" cy="933450"/>
          <wp:effectExtent l="0" t="0" r="0" b="0"/>
          <wp:docPr id="1" name="Εικόνα 1" descr="ΛΟΓΟΤΥΠΟ ΓΣΕΒ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ΓΣΕΒΕ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Pr="00727C6E">
      <w:rPr>
        <w:noProof/>
      </w:rPr>
      <w:t xml:space="preserve"> </w:t>
    </w:r>
  </w:p>
  <w:p w:rsidR="00AC15FD" w:rsidRDefault="00DD30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D0"/>
    <w:rsid w:val="00DD30D0"/>
    <w:rsid w:val="00EE63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A613"/>
  <w15:chartTrackingRefBased/>
  <w15:docId w15:val="{C9EFD6A4-FD00-48DA-801B-B27D5EC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0D0"/>
    <w:pPr>
      <w:tabs>
        <w:tab w:val="center" w:pos="4153"/>
        <w:tab w:val="right" w:pos="8306"/>
      </w:tabs>
      <w:spacing w:after="0" w:line="240" w:lineRule="auto"/>
    </w:pPr>
  </w:style>
  <w:style w:type="character" w:customStyle="1" w:styleId="Char">
    <w:name w:val="Κεφαλίδα Char"/>
    <w:basedOn w:val="a0"/>
    <w:link w:val="a3"/>
    <w:uiPriority w:val="99"/>
    <w:rsid w:val="00DD30D0"/>
    <w:rPr>
      <w:rFonts w:ascii="Calibri" w:eastAsia="Calibri" w:hAnsi="Calibri" w:cs="Times New Roman"/>
    </w:rPr>
  </w:style>
  <w:style w:type="paragraph" w:styleId="a4">
    <w:name w:val="footer"/>
    <w:basedOn w:val="a"/>
    <w:link w:val="Char0"/>
    <w:uiPriority w:val="99"/>
    <w:unhideWhenUsed/>
    <w:rsid w:val="00DD30D0"/>
    <w:pPr>
      <w:tabs>
        <w:tab w:val="center" w:pos="4153"/>
        <w:tab w:val="right" w:pos="8306"/>
      </w:tabs>
      <w:spacing w:after="0" w:line="240" w:lineRule="auto"/>
    </w:pPr>
  </w:style>
  <w:style w:type="character" w:customStyle="1" w:styleId="Char0">
    <w:name w:val="Υποσέλιδο Char"/>
    <w:basedOn w:val="a0"/>
    <w:link w:val="a4"/>
    <w:uiPriority w:val="99"/>
    <w:rsid w:val="00DD30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968</Words>
  <Characters>5231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Μότσου</dc:creator>
  <cp:keywords/>
  <dc:description/>
  <cp:lastModifiedBy>Βάσια Μότσου</cp:lastModifiedBy>
  <cp:revision>1</cp:revision>
  <dcterms:created xsi:type="dcterms:W3CDTF">2021-06-01T12:45:00Z</dcterms:created>
  <dcterms:modified xsi:type="dcterms:W3CDTF">2021-06-01T12:48:00Z</dcterms:modified>
</cp:coreProperties>
</file>